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B82D" w14:textId="68AD1B88" w:rsidR="00C72416" w:rsidRPr="00C72416" w:rsidRDefault="00C72416" w:rsidP="00C72416">
      <w:pPr>
        <w:spacing w:before="0" w:after="0" w:line="360" w:lineRule="auto"/>
        <w:ind w:left="0" w:right="0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bookmarkStart w:id="0" w:name="_Hlk157861502"/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In una </w:t>
      </w:r>
      <w:r w:rsidR="00984985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Nazione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a forte vocazione turistica quale l'Italia, i volumi economici ed i dati strutturali evidenziano la segmentazione del comparto </w:t>
      </w:r>
      <w:r w:rsidR="00423689">
        <w:rPr>
          <w:rFonts w:ascii="Arial" w:eastAsia="Times New Roman" w:hAnsi="Arial" w:cs="Arial"/>
          <w:color w:val="auto"/>
          <w:kern w:val="0"/>
          <w:szCs w:val="24"/>
          <w:lang w:eastAsia="it-IT"/>
        </w:rPr>
        <w:t>dell’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ospitalità</w:t>
      </w:r>
      <w:r w:rsidR="00423689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professionale in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due categorie di riferimento: l’ospitalità alberghiera e quella all’aria aperta. Quest’ultima, con 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circa 73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milioni di presenze nel 20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24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*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rappresenta la seconda modalità nonché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il segmento a maggiore vivacità. Il trend d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el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settore è risultato costantemente positivo ed è connotato da incrementi 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stabili e rilevanti sin dai primi anni 2000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.</w:t>
      </w:r>
      <w:r w:rsidR="00C81644" w:rsidRP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C81644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Nel segmento trovano oggi impiego circa 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100</w:t>
      </w:r>
      <w:r w:rsidR="00C81644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.000 addetti ed il giro d’affari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="00C81644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indotto compreso,</w:t>
      </w:r>
      <w:r w:rsidR="00C81644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è 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stimato in circa 8</w:t>
      </w:r>
      <w:r w:rsidR="00C81644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miliardi di euro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.</w:t>
      </w:r>
    </w:p>
    <w:p w14:paraId="2607291E" w14:textId="02D5116B" w:rsidR="00C72416" w:rsidRPr="00C72416" w:rsidRDefault="00C72416" w:rsidP="00C72416">
      <w:pPr>
        <w:spacing w:before="0" w:after="0" w:line="360" w:lineRule="auto"/>
        <w:ind w:left="0" w:right="0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Le imprese del settore turistico ricettivo all’aria aperta (camping e villaggi turistici) sono circa 26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0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0 ed hanno una potenzialità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in termini di capacità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di oltre 1,3 milioni di posti letto per giorno.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Nei primi anni del dopoguerra, il settore del campeggio ha conosciuto due significative stagioni di sviluppo, la prima verso la metà degli anni ’60 quando si è passati da campeggi piccoli e per lo più frequentati da ospiti stranieri a strutture più 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ampie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ed articolate e la seconda sul finire degli anni ’70 quando, anche grazie al diffondersi d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>e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i 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veicoli ricreazionali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(caravan e camper) le aziende si sono moltiplicate ed hanno a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mpliato, raffinato </w:t>
      </w:r>
      <w:r w:rsidR="00C81644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e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diversificato l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’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offerta. </w:t>
      </w:r>
    </w:p>
    <w:p w14:paraId="0E412FE9" w14:textId="4C5E0897" w:rsidR="00C32D0E" w:rsidRDefault="00C72416" w:rsidP="00C72416">
      <w:pPr>
        <w:spacing w:before="0" w:after="0" w:line="360" w:lineRule="auto"/>
        <w:ind w:left="0" w:right="0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Inizialmente a forte vocazione marina, i camping sono sorti e cresciuti nel corso degli anni ’80 e ’90 anche </w:t>
      </w:r>
      <w:r w:rsidR="002D22F1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presso le città d’arte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="002D22F1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nelle zone lacuali e montane. 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Oggi non meno di un terzo delle strutture sono aperte tutto l’anno.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Chi 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sceglie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oggi 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l’offerta Open Air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trova molto spesso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(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la 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classificazione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con </w:t>
      </w:r>
      <w:r w:rsidR="00C32D0E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stelle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, </w:t>
      </w:r>
      <w:r w:rsidR="00C32D0E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fino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a quattro, ne fa fede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)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strutture polifunzionali </w:t>
      </w:r>
      <w:r w:rsidR="00095D4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ed accoglienti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all’interno delle quali ogni attenzione e comfort è presente: dalle piazzole attrezzate, 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alle sistemmazioni glamping,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agli stores, ai servizi per l’intrattenimento e per lo sport, alle strutture per la ristorazione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;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il tutto in ambienti naturali curati e, non di rado, suggestivi.</w:t>
      </w:r>
    </w:p>
    <w:p w14:paraId="0A9EBE17" w14:textId="4E7C6877" w:rsidR="00C72416" w:rsidRPr="00C72416" w:rsidRDefault="00C72416" w:rsidP="00C72416">
      <w:pPr>
        <w:spacing w:before="0" w:after="0" w:line="360" w:lineRule="auto"/>
        <w:ind w:left="0" w:right="0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Il profilo dell’ospite è segmentato in quote nazionali 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(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circa il 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47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% del totale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)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ed ospiti d’oltralpe 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(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circa il 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53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% del totale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)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. Negli ultimi dieci anni si è assistito ad una crescita del numero di ospiti stranieri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 la maggior parte dei quali provenienti dall’area DAC</w:t>
      </w:r>
      <w:r w:rsidR="00C81644">
        <w:rPr>
          <w:rFonts w:ascii="Arial" w:eastAsia="Times New Roman" w:hAnsi="Arial" w:cs="Arial"/>
          <w:color w:val="auto"/>
          <w:kern w:val="0"/>
          <w:szCs w:val="24"/>
          <w:lang w:eastAsia="it-IT"/>
        </w:rPr>
        <w:t>H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e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dalle aree dell’est europeo (Repubblica Ceca, Polonia e Ungheria). Spesso chi sceglie il campeggio si muove in macchina ed i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n famiglia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con un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periodo medio di permanenza 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per persona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di circa 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6,5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giorni.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La media nazionale di piena occupazione delle aziende in alta stagione è di circa </w:t>
      </w:r>
      <w:r w:rsidR="00C32D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40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giorni con notevoli differenze nelle diverse aree geografiche (più alta al centro nord e di circa la metà al sud e sulle isole).</w:t>
      </w:r>
    </w:p>
    <w:p w14:paraId="2176F049" w14:textId="361AB9BC" w:rsidR="00C72416" w:rsidRPr="00C72416" w:rsidRDefault="00C72416" w:rsidP="00C72416">
      <w:pPr>
        <w:spacing w:before="0" w:after="0" w:line="360" w:lineRule="auto"/>
        <w:ind w:left="0" w:right="0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lastRenderedPageBreak/>
        <w:t>In genere quella di passare le proprie vacanze all’aria aperta è una scelta ricorsiva e prevalgono, nella maggior parte dei casi, lo stesso luogo ed addirittura la stessa piazzola come destinazione elettiva.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Tuttavia, d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a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gli inizi degli anni 2000 si è registrat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>a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un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 crescita 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della domanda di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neofiti, 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in prevalenza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giovani 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coppie con figli piccoli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 probabilmente dovuta al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l’esperienza post pandemica 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che 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>ha fatto scoprire a molti come la triade sicurezza, spazio e libertà fosse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nel mondo Open Air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all’ordine del giorno.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</w:p>
    <w:p w14:paraId="6AECDC29" w14:textId="16A98EA0" w:rsidR="00C72416" w:rsidRPr="00C72416" w:rsidRDefault="002D22F1" w:rsidP="00C72416">
      <w:pPr>
        <w:spacing w:before="0" w:after="0" w:line="360" w:lineRule="auto"/>
        <w:ind w:left="0" w:right="0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Oggi, se da un lato </w:t>
      </w:r>
      <w:r w:rsidR="00C72416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la motivazione principale della scelta 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di vacanze Open Air </w:t>
      </w:r>
      <w:r w:rsidR="00C72416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risiede nel più diretto contatto con la natura, non 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vanno </w:t>
      </w:r>
      <w:r w:rsidR="00C72416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sottovaluta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te</w:t>
      </w:r>
      <w:r w:rsidR="00C72416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a parità di condizioni di comfort, l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o stile </w:t>
      </w:r>
      <w:r w:rsidR="00C72416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e la dislocazione della struttura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. Si tratta spesso di aziende che operano </w:t>
      </w:r>
      <w:r w:rsidR="00C72416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in luoghi ameni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e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non di rado, 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recentemente ristrutturate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con soluzioni 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di progettazione eleganti, funzionali e 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di grande appeal per gli ospiti</w:t>
      </w:r>
      <w:r w:rsidR="00C72416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.</w:t>
      </w:r>
    </w:p>
    <w:p w14:paraId="7F9BBD4E" w14:textId="028B090C" w:rsidR="00AB2F19" w:rsidRDefault="00C72416" w:rsidP="00C32D0E">
      <w:pPr>
        <w:pStyle w:val="Intestazione"/>
        <w:spacing w:before="0" w:line="360" w:lineRule="auto"/>
        <w:ind w:left="0" w:right="0"/>
        <w:jc w:val="both"/>
        <w:rPr>
          <w:rFonts w:ascii="Montserrat" w:hAnsi="Montserrat" w:cs="Arial"/>
          <w:sz w:val="22"/>
          <w:szCs w:val="22"/>
        </w:rPr>
      </w:pP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Il settore si prepara </w:t>
      </w:r>
      <w:r w:rsidR="002D22F1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nel </w:t>
      </w:r>
      <w:r w:rsidR="0080060E">
        <w:rPr>
          <w:rFonts w:ascii="Arial" w:eastAsia="Times New Roman" w:hAnsi="Arial" w:cs="Arial"/>
          <w:color w:val="auto"/>
          <w:kern w:val="0"/>
          <w:szCs w:val="24"/>
          <w:lang w:eastAsia="it-IT"/>
        </w:rPr>
        <w:t>futuro pr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ossimo ad una ulteriore fase evolutiva che </w:t>
      </w:r>
      <w:r w:rsidR="002D22F1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secondo FAITA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Feder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a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mping, organizzazione maggiormente </w:t>
      </w:r>
      <w:r w:rsidR="004720BC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rappresenta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t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i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va delle imprese Open Air,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farà perno su 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alcuni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fattori chiave: </w:t>
      </w:r>
      <w:r w:rsidR="004720BC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riqualificazione 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dell’offerta e</w:t>
      </w:r>
      <w:r w:rsidR="004720BC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del contesto ambientale delle strutture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="004720BC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4720BC"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formazione professionale de</w:t>
      </w:r>
      <w:r w:rsidR="004720BC">
        <w:rPr>
          <w:rFonts w:ascii="Arial" w:eastAsia="Times New Roman" w:hAnsi="Arial" w:cs="Arial"/>
          <w:color w:val="auto"/>
          <w:kern w:val="0"/>
          <w:szCs w:val="24"/>
          <w:lang w:eastAsia="it-IT"/>
        </w:rPr>
        <w:t>l management e del personale, digitalizzazione e sostenibilità.</w:t>
      </w:r>
    </w:p>
    <w:p w14:paraId="14BA575E" w14:textId="51712B9B" w:rsidR="00AB2F19" w:rsidRDefault="00673166" w:rsidP="00673166">
      <w:pPr>
        <w:pStyle w:val="Intestazione"/>
        <w:ind w:left="0" w:right="0"/>
        <w:jc w:val="left"/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</w:rPr>
        <w:tab/>
      </w:r>
      <w:r>
        <w:rPr>
          <w:rFonts w:ascii="Montserrat" w:hAnsi="Montserrat" w:cs="Arial"/>
          <w:sz w:val="22"/>
          <w:szCs w:val="22"/>
        </w:rPr>
        <w:tab/>
      </w:r>
    </w:p>
    <w:bookmarkEnd w:id="0"/>
    <w:p w14:paraId="4BB678B4" w14:textId="028812EB" w:rsidR="00AB2F19" w:rsidRDefault="00423689" w:rsidP="00673166">
      <w:pPr>
        <w:pStyle w:val="Intestazione"/>
        <w:ind w:left="0" w:right="0"/>
        <w:jc w:val="left"/>
        <w:rPr>
          <w:rFonts w:ascii="Montserrat" w:hAnsi="Montserrat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*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elab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orazione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FAITA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Federcamping 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su 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dati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IS</w:t>
      </w:r>
      <w:r w:rsidRPr="00C72416">
        <w:rPr>
          <w:rFonts w:ascii="Arial" w:eastAsia="Times New Roman" w:hAnsi="Arial" w:cs="Arial"/>
          <w:color w:val="auto"/>
          <w:kern w:val="0"/>
          <w:szCs w:val="24"/>
          <w:lang w:eastAsia="it-IT"/>
        </w:rPr>
        <w:t>TAT</w:t>
      </w:r>
    </w:p>
    <w:sectPr w:rsidR="00AB2F19" w:rsidSect="00E8120E">
      <w:headerReference w:type="first" r:id="rId9"/>
      <w:footerReference w:type="first" r:id="rId10"/>
      <w:pgSz w:w="11906" w:h="16838" w:code="9"/>
      <w:pgMar w:top="2552" w:right="1134" w:bottom="1134" w:left="1134" w:header="127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DABF" w14:textId="77777777" w:rsidR="00CC5EEF" w:rsidRDefault="00CC5EEF" w:rsidP="00A66B18">
      <w:pPr>
        <w:spacing w:before="0" w:after="0"/>
      </w:pPr>
      <w:r>
        <w:separator/>
      </w:r>
    </w:p>
  </w:endnote>
  <w:endnote w:type="continuationSeparator" w:id="0">
    <w:p w14:paraId="3EBCD49C" w14:textId="77777777" w:rsidR="00CC5EEF" w:rsidRDefault="00CC5EE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7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9"/>
      <w:gridCol w:w="2930"/>
      <w:gridCol w:w="3628"/>
    </w:tblGrid>
    <w:tr w:rsidR="00E9551C" w:rsidRPr="0002788A" w14:paraId="6D32EED3" w14:textId="77777777" w:rsidTr="00673166">
      <w:trPr>
        <w:trHeight w:val="161"/>
      </w:trPr>
      <w:tc>
        <w:tcPr>
          <w:tcW w:w="9497" w:type="dxa"/>
          <w:gridSpan w:val="3"/>
          <w:vAlign w:val="bottom"/>
        </w:tcPr>
        <w:p w14:paraId="30A05E7D" w14:textId="18CF4F69" w:rsidR="0002788A" w:rsidRPr="0002788A" w:rsidRDefault="00E9551C" w:rsidP="0002788A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b/>
              <w:bCs/>
              <w:color w:val="1C4C9B"/>
              <w:sz w:val="14"/>
              <w:szCs w:val="14"/>
            </w:rPr>
            <w:t xml:space="preserve">FAITA FEDERCAMPING –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FEDERAZIONE DELLE ASSOCIAZIONI</w:t>
          </w:r>
          <w:r w:rsidR="00673166">
            <w:rPr>
              <w:rFonts w:ascii="Montserrat" w:hAnsi="Montserrat"/>
              <w:color w:val="1C4C9B"/>
              <w:sz w:val="14"/>
              <w:szCs w:val="14"/>
            </w:rPr>
            <w:t xml:space="preserve"> ITALIANE DEI COMPLESSI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TURISTICO RICETTIV</w:t>
          </w:r>
          <w:r w:rsidR="00673166">
            <w:rPr>
              <w:rFonts w:ascii="Montserrat" w:hAnsi="Montserrat"/>
              <w:color w:val="1C4C9B"/>
              <w:sz w:val="14"/>
              <w:szCs w:val="14"/>
            </w:rPr>
            <w:t>I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 ALL’ARIA APERTA </w:t>
          </w:r>
        </w:p>
        <w:p w14:paraId="35C1F724" w14:textId="6526138C" w:rsidR="00E9551C" w:rsidRPr="0002788A" w:rsidRDefault="0002788A" w:rsidP="00E02C5B">
          <w:pPr>
            <w:spacing w:before="0" w:after="100" w:afterAutospacing="1"/>
            <w:ind w:left="19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2"/>
              <w:szCs w:val="12"/>
            </w:rPr>
            <w:t xml:space="preserve"> </w:t>
          </w:r>
          <w:r w:rsidR="00C303BD">
            <w:rPr>
              <w:rFonts w:ascii="Montserrat" w:hAnsi="Montserrat"/>
              <w:color w:val="1C4C9B"/>
              <w:sz w:val="12"/>
              <w:szCs w:val="12"/>
            </w:rPr>
            <w:t xml:space="preserve"> </w:t>
          </w:r>
          <w:r w:rsidR="00E9551C" w:rsidRPr="0002788A">
            <w:rPr>
              <w:rFonts w:ascii="Montserrat" w:hAnsi="Montserrat"/>
              <w:color w:val="1C4C9B"/>
              <w:sz w:val="14"/>
              <w:szCs w:val="14"/>
            </w:rPr>
            <w:t xml:space="preserve">Aderente a CONFCOMMERCIO, CONFTURISMO </w:t>
          </w:r>
          <w:r>
            <w:rPr>
              <w:rFonts w:ascii="Montserrat" w:hAnsi="Montserrat"/>
              <w:color w:val="1C4C9B"/>
              <w:sz w:val="14"/>
              <w:szCs w:val="14"/>
            </w:rPr>
            <w:t>ed</w:t>
          </w:r>
          <w:r w:rsidR="00E9551C" w:rsidRPr="0002788A">
            <w:rPr>
              <w:rFonts w:ascii="Montserrat" w:hAnsi="Montserrat"/>
              <w:color w:val="1C4C9B"/>
              <w:sz w:val="14"/>
              <w:szCs w:val="14"/>
            </w:rPr>
            <w:t xml:space="preserve"> EFCO</w:t>
          </w:r>
        </w:p>
      </w:tc>
    </w:tr>
    <w:tr w:rsidR="0097382D" w:rsidRPr="0002788A" w14:paraId="50D103B0" w14:textId="77777777" w:rsidTr="00673166">
      <w:trPr>
        <w:trHeight w:val="161"/>
      </w:trPr>
      <w:tc>
        <w:tcPr>
          <w:tcW w:w="2939" w:type="dxa"/>
          <w:vAlign w:val="bottom"/>
        </w:tcPr>
        <w:p w14:paraId="24C8F603" w14:textId="77777777" w:rsidR="0097382D" w:rsidRPr="00673166" w:rsidRDefault="0097382D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0"/>
              <w:szCs w:val="10"/>
            </w:rPr>
          </w:pPr>
        </w:p>
        <w:p w14:paraId="4C928EE8" w14:textId="09F0918F" w:rsidR="0097382D" w:rsidRPr="0002788A" w:rsidRDefault="0097382D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Via Toscana,</w:t>
          </w:r>
          <w:r w:rsidR="002C7E29" w:rsidRPr="0002788A">
            <w:rPr>
              <w:rFonts w:ascii="Montserrat" w:hAnsi="Montserrat"/>
              <w:color w:val="1C4C9B"/>
              <w:sz w:val="14"/>
              <w:szCs w:val="14"/>
            </w:rPr>
            <w:t xml:space="preserve"> 1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 – 00</w:t>
          </w:r>
          <w:r w:rsidR="002C7E29" w:rsidRPr="0002788A">
            <w:rPr>
              <w:rFonts w:ascii="Montserrat" w:hAnsi="Montserrat"/>
              <w:color w:val="1C4C9B"/>
              <w:sz w:val="14"/>
              <w:szCs w:val="14"/>
            </w:rPr>
            <w:t>1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87 ROMA</w:t>
          </w:r>
        </w:p>
        <w:p w14:paraId="2D812E81" w14:textId="194A3EBB" w:rsidR="0097382D" w:rsidRPr="0002788A" w:rsidRDefault="002C7E29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+</w:t>
          </w:r>
          <w:r w:rsidR="0097382D" w:rsidRPr="0002788A">
            <w:rPr>
              <w:rFonts w:ascii="Montserrat" w:hAnsi="Montserrat"/>
              <w:color w:val="1C4C9B"/>
              <w:sz w:val="14"/>
              <w:szCs w:val="14"/>
            </w:rPr>
            <w:t>39 06 32.11.10.43</w:t>
          </w:r>
        </w:p>
      </w:tc>
      <w:tc>
        <w:tcPr>
          <w:tcW w:w="2930" w:type="dxa"/>
          <w:vAlign w:val="bottom"/>
        </w:tcPr>
        <w:p w14:paraId="4FE1C4A2" w14:textId="77777777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b/>
              <w:bCs/>
              <w:color w:val="1C4C9B"/>
              <w:sz w:val="14"/>
              <w:szCs w:val="14"/>
            </w:rPr>
          </w:pPr>
        </w:p>
        <w:p w14:paraId="2341566A" w14:textId="77777777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Codice Fiscale  01766680589</w:t>
          </w:r>
        </w:p>
        <w:p w14:paraId="1C9CF900" w14:textId="7D742C9F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b/>
              <w:bCs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Partita Iva         </w:t>
          </w:r>
          <w:r w:rsidR="00B3705A">
            <w:rPr>
              <w:rFonts w:ascii="Montserrat" w:hAnsi="Montserrat"/>
              <w:color w:val="1C4C9B"/>
              <w:sz w:val="14"/>
              <w:szCs w:val="14"/>
            </w:rPr>
            <w:t xml:space="preserve">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01014031007</w:t>
          </w:r>
        </w:p>
      </w:tc>
      <w:tc>
        <w:tcPr>
          <w:tcW w:w="3628" w:type="dxa"/>
          <w:vAlign w:val="bottom"/>
        </w:tcPr>
        <w:p w14:paraId="5F0973A7" w14:textId="77777777" w:rsidR="00687642" w:rsidRPr="0002788A" w:rsidRDefault="0097382D" w:rsidP="00E9551C">
          <w:pPr>
            <w:spacing w:before="0" w:after="100" w:afterAutospacing="1"/>
            <w:ind w:left="0" w:right="2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faita.it - campingmanagement.online</w:t>
          </w:r>
        </w:p>
        <w:p w14:paraId="765C5FB8" w14:textId="4C2D74C3" w:rsidR="0097382D" w:rsidRPr="0002788A" w:rsidRDefault="00F82109" w:rsidP="00E9551C">
          <w:pPr>
            <w:spacing w:before="0" w:after="100" w:afterAutospacing="1"/>
            <w:ind w:left="0" w:right="2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>
            <w:rPr>
              <w:rFonts w:ascii="Montserrat" w:hAnsi="Montserrat"/>
              <w:color w:val="1C4C9B"/>
              <w:sz w:val="14"/>
              <w:szCs w:val="14"/>
            </w:rPr>
            <w:t>ufficiostampa</w:t>
          </w:r>
          <w:r w:rsidR="0097382D" w:rsidRPr="0002788A">
            <w:rPr>
              <w:rFonts w:ascii="Montserrat" w:hAnsi="Montserrat"/>
              <w:color w:val="1C4C9B"/>
              <w:sz w:val="14"/>
              <w:szCs w:val="14"/>
            </w:rPr>
            <w:t>@faita.it - faita@legalmail.it</w:t>
          </w:r>
        </w:p>
      </w:tc>
    </w:tr>
  </w:tbl>
  <w:p w14:paraId="7D875BDD" w14:textId="77777777" w:rsidR="00D55AD3" w:rsidRPr="0002788A" w:rsidRDefault="00D55AD3" w:rsidP="00AB2F19">
    <w:pPr>
      <w:pStyle w:val="Pidipagina"/>
      <w:tabs>
        <w:tab w:val="clear" w:pos="4680"/>
        <w:tab w:val="clear" w:pos="9360"/>
        <w:tab w:val="left" w:pos="5472"/>
        <w:tab w:val="left" w:pos="7338"/>
      </w:tabs>
      <w:ind w:left="0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0FFA" w14:textId="77777777" w:rsidR="00CC5EEF" w:rsidRDefault="00CC5EEF" w:rsidP="00A66B18">
      <w:pPr>
        <w:spacing w:before="0" w:after="0"/>
      </w:pPr>
      <w:r>
        <w:separator/>
      </w:r>
    </w:p>
  </w:footnote>
  <w:footnote w:type="continuationSeparator" w:id="0">
    <w:p w14:paraId="5AF6E32E" w14:textId="77777777" w:rsidR="00CC5EEF" w:rsidRDefault="00CC5EE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7861377"/>
  <w:bookmarkStart w:id="2" w:name="_Hlk157861378"/>
  <w:p w14:paraId="78BDE3B8" w14:textId="77777777" w:rsidR="00AB2F19" w:rsidRPr="00AB2F19" w:rsidRDefault="00000000" w:rsidP="00AB2F19">
    <w:pPr>
      <w:pStyle w:val="Firma"/>
      <w:ind w:left="0"/>
      <w:rPr>
        <w:b w:val="0"/>
        <w:bCs w:val="0"/>
      </w:rPr>
    </w:pPr>
    <w:sdt>
      <w:sdtPr>
        <w:rPr>
          <w:rFonts w:ascii="Montserrat" w:hAnsi="Montserrat"/>
          <w:color w:val="1C4C9B"/>
          <w:sz w:val="14"/>
          <w:szCs w:val="14"/>
        </w:rPr>
        <w:id w:val="-411706519"/>
        <w:docPartObj>
          <w:docPartGallery w:val="Watermarks"/>
          <w:docPartUnique/>
        </w:docPartObj>
      </w:sdtPr>
      <w:sdtContent>
        <w:r w:rsidR="00781A79" w:rsidRPr="00781A79">
          <w:rPr>
            <w:rFonts w:ascii="Montserrat" w:hAnsi="Montserrat"/>
            <w:noProof/>
            <w:color w:val="1C4C9B"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5116653D" wp14:editId="6336A88E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4860000" cy="4860000"/>
              <wp:effectExtent l="0" t="0" r="0" b="0"/>
              <wp:wrapNone/>
              <wp:docPr id="1308606633" name="Immagine 1" descr="Immagine che contiene creatività&#10;&#10;Descrizione generata automaticamente con attendibilità bass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305385" name="Immagine 1" descr="Immagine che contiene creatività&#10;&#10;Descrizione generata automaticamente con attendibilità bass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0000" cy="48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bookmarkEnd w:id="1"/>
        <w:bookmarkEnd w:id="2"/>
      </w:sdtContent>
    </w:sdt>
    <w:r w:rsidR="00AB2F19">
      <w:rPr>
        <w:noProof/>
      </w:rPr>
      <w:drawing>
        <wp:anchor distT="0" distB="0" distL="114300" distR="114300" simplePos="0" relativeHeight="251663360" behindDoc="1" locked="0" layoutInCell="1" allowOverlap="1" wp14:anchorId="42ED2FCB" wp14:editId="204F6147">
          <wp:simplePos x="0" y="0"/>
          <wp:positionH relativeFrom="page">
            <wp:align>center</wp:align>
          </wp:positionH>
          <wp:positionV relativeFrom="topMargin">
            <wp:posOffset>360045</wp:posOffset>
          </wp:positionV>
          <wp:extent cx="1166400" cy="1080000"/>
          <wp:effectExtent l="0" t="0" r="0" b="6350"/>
          <wp:wrapNone/>
          <wp:docPr id="83638589" name="Immagine 5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8046" name="Immagine 5" descr="Immagine che contiene Elementi grafici, Carattere, testo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42"/>
    <w:rsid w:val="0002788A"/>
    <w:rsid w:val="00030C2F"/>
    <w:rsid w:val="00042AB5"/>
    <w:rsid w:val="00081CA3"/>
    <w:rsid w:val="00083BAA"/>
    <w:rsid w:val="00095D46"/>
    <w:rsid w:val="0010680C"/>
    <w:rsid w:val="00152B0B"/>
    <w:rsid w:val="00162146"/>
    <w:rsid w:val="001766D6"/>
    <w:rsid w:val="00192419"/>
    <w:rsid w:val="001C270D"/>
    <w:rsid w:val="001E2320"/>
    <w:rsid w:val="00214E28"/>
    <w:rsid w:val="002B0677"/>
    <w:rsid w:val="002C7E29"/>
    <w:rsid w:val="002D22F1"/>
    <w:rsid w:val="00352B81"/>
    <w:rsid w:val="00372C60"/>
    <w:rsid w:val="00373C4A"/>
    <w:rsid w:val="00385681"/>
    <w:rsid w:val="00394757"/>
    <w:rsid w:val="003A0150"/>
    <w:rsid w:val="003E24DF"/>
    <w:rsid w:val="0041428F"/>
    <w:rsid w:val="00423689"/>
    <w:rsid w:val="0043663D"/>
    <w:rsid w:val="00455419"/>
    <w:rsid w:val="0046479C"/>
    <w:rsid w:val="004720BC"/>
    <w:rsid w:val="004A2B0D"/>
    <w:rsid w:val="004C06D2"/>
    <w:rsid w:val="005C2210"/>
    <w:rsid w:val="00615018"/>
    <w:rsid w:val="0062123A"/>
    <w:rsid w:val="00646E75"/>
    <w:rsid w:val="006572E1"/>
    <w:rsid w:val="00673166"/>
    <w:rsid w:val="00687642"/>
    <w:rsid w:val="006C7338"/>
    <w:rsid w:val="006F6F10"/>
    <w:rsid w:val="00781A79"/>
    <w:rsid w:val="00783E79"/>
    <w:rsid w:val="007B5AE8"/>
    <w:rsid w:val="007F5192"/>
    <w:rsid w:val="0080060E"/>
    <w:rsid w:val="00831721"/>
    <w:rsid w:val="00837FB6"/>
    <w:rsid w:val="00862A06"/>
    <w:rsid w:val="008C38F3"/>
    <w:rsid w:val="008F7CA8"/>
    <w:rsid w:val="00935692"/>
    <w:rsid w:val="00964401"/>
    <w:rsid w:val="0097382D"/>
    <w:rsid w:val="00984985"/>
    <w:rsid w:val="009C5A65"/>
    <w:rsid w:val="009E5BC6"/>
    <w:rsid w:val="00A26FE7"/>
    <w:rsid w:val="00A62CF7"/>
    <w:rsid w:val="00A66B18"/>
    <w:rsid w:val="00A6783B"/>
    <w:rsid w:val="00A96CF8"/>
    <w:rsid w:val="00AA089B"/>
    <w:rsid w:val="00AB2F19"/>
    <w:rsid w:val="00AE1388"/>
    <w:rsid w:val="00AE2E4C"/>
    <w:rsid w:val="00AF3982"/>
    <w:rsid w:val="00B156D5"/>
    <w:rsid w:val="00B22073"/>
    <w:rsid w:val="00B3705A"/>
    <w:rsid w:val="00B50294"/>
    <w:rsid w:val="00B5260F"/>
    <w:rsid w:val="00B57D6E"/>
    <w:rsid w:val="00B717E6"/>
    <w:rsid w:val="00B770D7"/>
    <w:rsid w:val="00B8360D"/>
    <w:rsid w:val="00B93312"/>
    <w:rsid w:val="00BB332F"/>
    <w:rsid w:val="00BC56BF"/>
    <w:rsid w:val="00C1621F"/>
    <w:rsid w:val="00C303BD"/>
    <w:rsid w:val="00C32D0E"/>
    <w:rsid w:val="00C62609"/>
    <w:rsid w:val="00C701F7"/>
    <w:rsid w:val="00C70786"/>
    <w:rsid w:val="00C72416"/>
    <w:rsid w:val="00C81644"/>
    <w:rsid w:val="00CC5EEF"/>
    <w:rsid w:val="00D10958"/>
    <w:rsid w:val="00D152D2"/>
    <w:rsid w:val="00D55AD3"/>
    <w:rsid w:val="00D66593"/>
    <w:rsid w:val="00D72684"/>
    <w:rsid w:val="00D842C5"/>
    <w:rsid w:val="00DE6DA2"/>
    <w:rsid w:val="00DF2D30"/>
    <w:rsid w:val="00E02C5B"/>
    <w:rsid w:val="00E07EAD"/>
    <w:rsid w:val="00E27AF9"/>
    <w:rsid w:val="00E4786A"/>
    <w:rsid w:val="00E55D74"/>
    <w:rsid w:val="00E6540C"/>
    <w:rsid w:val="00E8120E"/>
    <w:rsid w:val="00E81E2A"/>
    <w:rsid w:val="00E9551C"/>
    <w:rsid w:val="00EB5707"/>
    <w:rsid w:val="00ED7A77"/>
    <w:rsid w:val="00EE0952"/>
    <w:rsid w:val="00F82109"/>
    <w:rsid w:val="00FC6A2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9D3F7"/>
  <w14:defaultImageDpi w14:val="32767"/>
  <w15:chartTrackingRefBased/>
  <w15:docId w15:val="{12830845-ACF5-4A36-8456-EA4DD53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7268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rsid w:val="00D7268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B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7241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72416"/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aita%20Nazionale\Documenti%20Faita\MODELLI\New\Carta%20intestata%20uso%20formal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uso formale</Template>
  <TotalTime>63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Srl</dc:creator>
  <cp:keywords/>
  <dc:description/>
  <cp:lastModifiedBy>MU Srl</cp:lastModifiedBy>
  <cp:revision>4</cp:revision>
  <dcterms:created xsi:type="dcterms:W3CDTF">2025-10-19T09:59:00Z</dcterms:created>
  <dcterms:modified xsi:type="dcterms:W3CDTF">2025-10-20T15:16:00Z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