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B66" w:rsidRPr="00D81E83" w:rsidRDefault="004A4B66">
      <w:pPr>
        <w:rPr>
          <w:sz w:val="22"/>
          <w:szCs w:val="22"/>
        </w:rPr>
      </w:pPr>
    </w:p>
    <w:p w:rsidR="00AD1826" w:rsidRPr="00D81E83" w:rsidRDefault="00AD1826" w:rsidP="00192CCF">
      <w:pPr>
        <w:jc w:val="center"/>
        <w:rPr>
          <w:b/>
          <w:bCs/>
          <w:sz w:val="22"/>
          <w:szCs w:val="22"/>
          <w:u w:val="single"/>
        </w:rPr>
      </w:pPr>
      <w:r w:rsidRPr="00D81E83">
        <w:rPr>
          <w:b/>
          <w:bCs/>
          <w:sz w:val="22"/>
          <w:szCs w:val="22"/>
          <w:u w:val="single"/>
        </w:rPr>
        <w:t>COMUNICATO STAMPA</w:t>
      </w:r>
    </w:p>
    <w:p w:rsidR="00AD1826" w:rsidRPr="00D81E83" w:rsidRDefault="00AD1826" w:rsidP="001C2E63">
      <w:pPr>
        <w:jc w:val="both"/>
        <w:rPr>
          <w:sz w:val="22"/>
          <w:szCs w:val="22"/>
        </w:rPr>
      </w:pPr>
    </w:p>
    <w:p w:rsidR="00B73B53" w:rsidRPr="005C0FB0" w:rsidRDefault="00B73B53" w:rsidP="00AD1826">
      <w:pPr>
        <w:jc w:val="center"/>
        <w:rPr>
          <w:b/>
          <w:bCs/>
          <w:sz w:val="22"/>
          <w:szCs w:val="22"/>
        </w:rPr>
      </w:pPr>
      <w:r w:rsidRPr="005C0FB0">
        <w:rPr>
          <w:b/>
          <w:bCs/>
          <w:sz w:val="22"/>
          <w:szCs w:val="22"/>
        </w:rPr>
        <w:t>O</w:t>
      </w:r>
      <w:r w:rsidR="00AD1826" w:rsidRPr="005C0FB0">
        <w:rPr>
          <w:b/>
          <w:bCs/>
          <w:sz w:val="22"/>
          <w:szCs w:val="22"/>
        </w:rPr>
        <w:t xml:space="preserve">ggi </w:t>
      </w:r>
      <w:r w:rsidRPr="005C0FB0">
        <w:rPr>
          <w:b/>
          <w:bCs/>
          <w:sz w:val="22"/>
          <w:szCs w:val="22"/>
        </w:rPr>
        <w:t xml:space="preserve">e domani </w:t>
      </w:r>
      <w:r w:rsidR="00AD1826" w:rsidRPr="005C0FB0">
        <w:rPr>
          <w:b/>
          <w:bCs/>
          <w:sz w:val="22"/>
          <w:szCs w:val="22"/>
        </w:rPr>
        <w:t xml:space="preserve">a Roma il Forum Open Air, </w:t>
      </w:r>
      <w:r w:rsidRPr="005C0FB0">
        <w:rPr>
          <w:b/>
          <w:bCs/>
          <w:sz w:val="22"/>
          <w:szCs w:val="22"/>
        </w:rPr>
        <w:t>d</w:t>
      </w:r>
      <w:r w:rsidR="00AD1826" w:rsidRPr="005C0FB0">
        <w:rPr>
          <w:b/>
          <w:bCs/>
          <w:sz w:val="22"/>
          <w:szCs w:val="22"/>
        </w:rPr>
        <w:t xml:space="preserve">ue giorni di </w:t>
      </w:r>
      <w:r w:rsidRPr="005C0FB0">
        <w:rPr>
          <w:b/>
          <w:bCs/>
          <w:sz w:val="22"/>
          <w:szCs w:val="22"/>
        </w:rPr>
        <w:t>incontri sul turismo all’aria aperta</w:t>
      </w:r>
    </w:p>
    <w:p w:rsidR="00AD1826" w:rsidRPr="005C0FB0" w:rsidRDefault="00AD1826" w:rsidP="00AD1826">
      <w:pPr>
        <w:jc w:val="center"/>
        <w:rPr>
          <w:b/>
          <w:bCs/>
          <w:sz w:val="22"/>
          <w:szCs w:val="22"/>
        </w:rPr>
      </w:pPr>
      <w:r w:rsidRPr="005C0FB0">
        <w:rPr>
          <w:b/>
          <w:bCs/>
          <w:sz w:val="22"/>
          <w:szCs w:val="22"/>
        </w:rPr>
        <w:t>CAMPEGGI E VILLAGGI TURISTICI, 7</w:t>
      </w:r>
      <w:r w:rsidR="00A7185D" w:rsidRPr="005C0FB0">
        <w:rPr>
          <w:b/>
          <w:bCs/>
          <w:sz w:val="22"/>
          <w:szCs w:val="22"/>
        </w:rPr>
        <w:t>4</w:t>
      </w:r>
      <w:r w:rsidRPr="005C0FB0">
        <w:rPr>
          <w:b/>
          <w:bCs/>
          <w:sz w:val="22"/>
          <w:szCs w:val="22"/>
        </w:rPr>
        <w:t xml:space="preserve"> MILIONI DI PRESENZE</w:t>
      </w:r>
    </w:p>
    <w:p w:rsidR="00AD1826" w:rsidRPr="00961AF1" w:rsidRDefault="00961AF1" w:rsidP="00AD1826">
      <w:pPr>
        <w:jc w:val="center"/>
        <w:rPr>
          <w:b/>
          <w:bCs/>
          <w:i/>
          <w:iCs/>
          <w:sz w:val="22"/>
          <w:szCs w:val="22"/>
        </w:rPr>
      </w:pPr>
      <w:r>
        <w:rPr>
          <w:b/>
          <w:bCs/>
          <w:i/>
          <w:iCs/>
          <w:sz w:val="22"/>
          <w:szCs w:val="22"/>
        </w:rPr>
        <w:t xml:space="preserve">Alberto </w:t>
      </w:r>
      <w:r w:rsidRPr="00961AF1">
        <w:rPr>
          <w:b/>
          <w:bCs/>
          <w:i/>
          <w:iCs/>
          <w:sz w:val="22"/>
          <w:szCs w:val="22"/>
        </w:rPr>
        <w:t>Granzotto (</w:t>
      </w:r>
      <w:r>
        <w:rPr>
          <w:b/>
          <w:bCs/>
          <w:i/>
          <w:iCs/>
          <w:sz w:val="22"/>
          <w:szCs w:val="22"/>
        </w:rPr>
        <w:t>F</w:t>
      </w:r>
      <w:r w:rsidRPr="00961AF1">
        <w:rPr>
          <w:b/>
          <w:bCs/>
          <w:i/>
          <w:iCs/>
          <w:sz w:val="22"/>
          <w:szCs w:val="22"/>
        </w:rPr>
        <w:t xml:space="preserve">aita </w:t>
      </w:r>
      <w:r>
        <w:rPr>
          <w:b/>
          <w:bCs/>
          <w:i/>
          <w:iCs/>
          <w:sz w:val="22"/>
          <w:szCs w:val="22"/>
        </w:rPr>
        <w:t>F</w:t>
      </w:r>
      <w:r w:rsidRPr="00961AF1">
        <w:rPr>
          <w:b/>
          <w:bCs/>
          <w:i/>
          <w:iCs/>
          <w:sz w:val="22"/>
          <w:szCs w:val="22"/>
        </w:rPr>
        <w:t>edercamping): “</w:t>
      </w:r>
      <w:r>
        <w:rPr>
          <w:b/>
          <w:bCs/>
          <w:i/>
          <w:iCs/>
          <w:sz w:val="22"/>
          <w:szCs w:val="22"/>
        </w:rPr>
        <w:t>S</w:t>
      </w:r>
      <w:r w:rsidRPr="00961AF1">
        <w:rPr>
          <w:b/>
          <w:bCs/>
          <w:i/>
          <w:iCs/>
          <w:sz w:val="22"/>
          <w:szCs w:val="22"/>
        </w:rPr>
        <w:t>i consolida il record degli ultimi 3 anni”</w:t>
      </w:r>
    </w:p>
    <w:p w:rsidR="00B73B53" w:rsidRPr="005C0FB0" w:rsidRDefault="00B73B53" w:rsidP="001C2E63">
      <w:pPr>
        <w:jc w:val="both"/>
        <w:rPr>
          <w:sz w:val="22"/>
          <w:szCs w:val="22"/>
        </w:rPr>
      </w:pPr>
    </w:p>
    <w:p w:rsidR="005818B5" w:rsidRPr="0002142C" w:rsidRDefault="00954F97" w:rsidP="001F0CAC">
      <w:pPr>
        <w:jc w:val="both"/>
        <w:rPr>
          <w:sz w:val="21"/>
          <w:szCs w:val="21"/>
        </w:rPr>
      </w:pPr>
      <w:r w:rsidRPr="0002142C">
        <w:rPr>
          <w:sz w:val="21"/>
          <w:szCs w:val="21"/>
        </w:rPr>
        <w:t xml:space="preserve">Roma, 22 ottobre 2025 - Turismo all’aria aperta: </w:t>
      </w:r>
      <w:r w:rsidR="00736F81" w:rsidRPr="0002142C">
        <w:rPr>
          <w:sz w:val="21"/>
          <w:szCs w:val="21"/>
        </w:rPr>
        <w:t>prende il</w:t>
      </w:r>
      <w:r w:rsidRPr="0002142C">
        <w:rPr>
          <w:sz w:val="21"/>
          <w:szCs w:val="21"/>
        </w:rPr>
        <w:t xml:space="preserve"> via oggi a Roma il Forum Open Air 2025, organizzato da </w:t>
      </w:r>
      <w:r w:rsidRPr="0002142C">
        <w:rPr>
          <w:b/>
          <w:bCs/>
          <w:sz w:val="21"/>
          <w:szCs w:val="21"/>
        </w:rPr>
        <w:t>Faita Federcamping</w:t>
      </w:r>
      <w:r w:rsidRPr="0002142C">
        <w:rPr>
          <w:sz w:val="21"/>
          <w:szCs w:val="21"/>
        </w:rPr>
        <w:t xml:space="preserve"> in collaborazione con Intesa San Paolo e Crippa</w:t>
      </w:r>
      <w:r w:rsidR="00314F12" w:rsidRPr="0002142C">
        <w:rPr>
          <w:sz w:val="21"/>
          <w:szCs w:val="21"/>
        </w:rPr>
        <w:t>c</w:t>
      </w:r>
      <w:r w:rsidRPr="0002142C">
        <w:rPr>
          <w:sz w:val="21"/>
          <w:szCs w:val="21"/>
        </w:rPr>
        <w:t xml:space="preserve">oncept. </w:t>
      </w:r>
      <w:r w:rsidR="00736F81" w:rsidRPr="0002142C">
        <w:rPr>
          <w:sz w:val="21"/>
          <w:szCs w:val="21"/>
        </w:rPr>
        <w:t xml:space="preserve">Una due giorni </w:t>
      </w:r>
      <w:r w:rsidR="00C1755F" w:rsidRPr="0002142C">
        <w:rPr>
          <w:sz w:val="21"/>
          <w:szCs w:val="21"/>
        </w:rPr>
        <w:t xml:space="preserve">di incontri e convegni </w:t>
      </w:r>
      <w:r w:rsidR="005818B5" w:rsidRPr="0002142C">
        <w:rPr>
          <w:sz w:val="21"/>
          <w:szCs w:val="21"/>
        </w:rPr>
        <w:t xml:space="preserve">che si concluderà domani, giovedì 23 ottobre, alle 12.00, con i saluti della ministra del Turismo </w:t>
      </w:r>
      <w:r w:rsidR="005818B5" w:rsidRPr="0002142C">
        <w:rPr>
          <w:b/>
          <w:bCs/>
          <w:sz w:val="21"/>
          <w:szCs w:val="21"/>
        </w:rPr>
        <w:t xml:space="preserve">Daniela Santanchè. </w:t>
      </w:r>
      <w:r w:rsidR="005818B5" w:rsidRPr="0002142C">
        <w:rPr>
          <w:sz w:val="21"/>
          <w:szCs w:val="21"/>
        </w:rPr>
        <w:t>Al centro</w:t>
      </w:r>
      <w:r w:rsidR="00314F12" w:rsidRPr="0002142C">
        <w:rPr>
          <w:sz w:val="21"/>
          <w:szCs w:val="21"/>
        </w:rPr>
        <w:t>,</w:t>
      </w:r>
      <w:r w:rsidR="005818B5" w:rsidRPr="0002142C">
        <w:rPr>
          <w:sz w:val="21"/>
          <w:szCs w:val="21"/>
        </w:rPr>
        <w:t xml:space="preserve"> le prime stime sull’andamento della stagione 2025 (</w:t>
      </w:r>
      <w:r w:rsidR="00314F12" w:rsidRPr="0002142C">
        <w:rPr>
          <w:sz w:val="21"/>
          <w:szCs w:val="21"/>
        </w:rPr>
        <w:t>dati</w:t>
      </w:r>
      <w:r w:rsidR="005818B5" w:rsidRPr="0002142C">
        <w:rPr>
          <w:sz w:val="21"/>
          <w:szCs w:val="21"/>
        </w:rPr>
        <w:t xml:space="preserve"> </w:t>
      </w:r>
      <w:proofErr w:type="spellStart"/>
      <w:r w:rsidR="005818B5" w:rsidRPr="0002142C">
        <w:rPr>
          <w:sz w:val="21"/>
          <w:szCs w:val="21"/>
        </w:rPr>
        <w:t>HBenchmark</w:t>
      </w:r>
      <w:proofErr w:type="spellEnd"/>
      <w:r w:rsidR="005818B5" w:rsidRPr="0002142C">
        <w:rPr>
          <w:sz w:val="21"/>
          <w:szCs w:val="21"/>
        </w:rPr>
        <w:t xml:space="preserve"> e  </w:t>
      </w:r>
      <w:proofErr w:type="spellStart"/>
      <w:r w:rsidR="005818B5" w:rsidRPr="0002142C">
        <w:rPr>
          <w:sz w:val="21"/>
          <w:szCs w:val="21"/>
        </w:rPr>
        <w:t>Ciset</w:t>
      </w:r>
      <w:proofErr w:type="spellEnd"/>
      <w:r w:rsidR="005818B5" w:rsidRPr="0002142C">
        <w:rPr>
          <w:sz w:val="21"/>
          <w:szCs w:val="21"/>
        </w:rPr>
        <w:t xml:space="preserve"> Ca’ Foscari). </w:t>
      </w:r>
    </w:p>
    <w:p w:rsidR="00B73B53" w:rsidRPr="0002142C" w:rsidRDefault="00B73B53" w:rsidP="001F0CAC">
      <w:pPr>
        <w:jc w:val="both"/>
        <w:rPr>
          <w:sz w:val="21"/>
          <w:szCs w:val="21"/>
        </w:rPr>
      </w:pPr>
    </w:p>
    <w:p w:rsidR="002F7AC5" w:rsidRPr="0002142C" w:rsidRDefault="006B1EEB" w:rsidP="001F0CAC">
      <w:pPr>
        <w:jc w:val="both"/>
        <w:rPr>
          <w:sz w:val="21"/>
          <w:szCs w:val="21"/>
        </w:rPr>
      </w:pPr>
      <w:r w:rsidRPr="0002142C">
        <w:rPr>
          <w:sz w:val="21"/>
          <w:szCs w:val="21"/>
        </w:rPr>
        <w:t xml:space="preserve">Secondo i </w:t>
      </w:r>
      <w:r w:rsidR="005818B5" w:rsidRPr="0002142C">
        <w:rPr>
          <w:sz w:val="21"/>
          <w:szCs w:val="21"/>
        </w:rPr>
        <w:t>dati</w:t>
      </w:r>
      <w:r w:rsidR="00314F12" w:rsidRPr="0002142C">
        <w:rPr>
          <w:sz w:val="21"/>
          <w:szCs w:val="21"/>
        </w:rPr>
        <w:t xml:space="preserve"> della</w:t>
      </w:r>
      <w:r w:rsidRPr="0002142C">
        <w:rPr>
          <w:sz w:val="21"/>
          <w:szCs w:val="21"/>
        </w:rPr>
        <w:t xml:space="preserve"> Federazione, </w:t>
      </w:r>
      <w:r w:rsidR="00314F12" w:rsidRPr="0002142C">
        <w:rPr>
          <w:sz w:val="21"/>
          <w:szCs w:val="21"/>
        </w:rPr>
        <w:t>dal</w:t>
      </w:r>
      <w:r w:rsidR="005818B5" w:rsidRPr="0002142C">
        <w:rPr>
          <w:sz w:val="21"/>
          <w:szCs w:val="21"/>
        </w:rPr>
        <w:t xml:space="preserve"> 6 aprile</w:t>
      </w:r>
      <w:r w:rsidR="00314F12" w:rsidRPr="0002142C">
        <w:rPr>
          <w:sz w:val="21"/>
          <w:szCs w:val="21"/>
        </w:rPr>
        <w:t xml:space="preserve"> al </w:t>
      </w:r>
      <w:r w:rsidR="00A7185D" w:rsidRPr="0002142C">
        <w:rPr>
          <w:sz w:val="21"/>
          <w:szCs w:val="21"/>
        </w:rPr>
        <w:t>15 ottobre</w:t>
      </w:r>
      <w:r w:rsidR="005818B5" w:rsidRPr="0002142C">
        <w:rPr>
          <w:sz w:val="21"/>
          <w:szCs w:val="21"/>
        </w:rPr>
        <w:t xml:space="preserve"> 2025,</w:t>
      </w:r>
      <w:r w:rsidR="00A7185D" w:rsidRPr="0002142C">
        <w:rPr>
          <w:sz w:val="21"/>
          <w:szCs w:val="21"/>
        </w:rPr>
        <w:t xml:space="preserve"> </w:t>
      </w:r>
      <w:r w:rsidRPr="0002142C">
        <w:rPr>
          <w:sz w:val="21"/>
          <w:szCs w:val="21"/>
        </w:rPr>
        <w:t>il settore ha visto crescere d</w:t>
      </w:r>
      <w:r w:rsidR="00A7185D" w:rsidRPr="0002142C">
        <w:rPr>
          <w:sz w:val="21"/>
          <w:szCs w:val="21"/>
        </w:rPr>
        <w:t xml:space="preserve">el 3,3% </w:t>
      </w:r>
      <w:r w:rsidRPr="0002142C">
        <w:rPr>
          <w:sz w:val="21"/>
          <w:szCs w:val="21"/>
        </w:rPr>
        <w:t>l’occupazione media delle strutture rispetto al 2024</w:t>
      </w:r>
      <w:r w:rsidR="00A7185D" w:rsidRPr="0002142C">
        <w:rPr>
          <w:sz w:val="21"/>
          <w:szCs w:val="21"/>
        </w:rPr>
        <w:t xml:space="preserve">, con un </w:t>
      </w:r>
      <w:r w:rsidR="005818B5" w:rsidRPr="0002142C">
        <w:rPr>
          <w:sz w:val="21"/>
          <w:szCs w:val="21"/>
        </w:rPr>
        <w:t>incremento</w:t>
      </w:r>
      <w:r w:rsidR="00A7185D" w:rsidRPr="0002142C">
        <w:rPr>
          <w:sz w:val="21"/>
          <w:szCs w:val="21"/>
        </w:rPr>
        <w:t xml:space="preserve"> </w:t>
      </w:r>
      <w:r w:rsidR="00663A1E" w:rsidRPr="0002142C">
        <w:rPr>
          <w:sz w:val="21"/>
          <w:szCs w:val="21"/>
        </w:rPr>
        <w:t xml:space="preserve">stimato </w:t>
      </w:r>
      <w:r w:rsidR="00A7185D" w:rsidRPr="0002142C">
        <w:rPr>
          <w:sz w:val="21"/>
          <w:szCs w:val="21"/>
        </w:rPr>
        <w:t xml:space="preserve">delle </w:t>
      </w:r>
      <w:r w:rsidR="00A7185D" w:rsidRPr="0002142C">
        <w:rPr>
          <w:b/>
          <w:bCs/>
          <w:sz w:val="21"/>
          <w:szCs w:val="21"/>
        </w:rPr>
        <w:t>presenze</w:t>
      </w:r>
      <w:r w:rsidR="00A7185D" w:rsidRPr="0002142C">
        <w:rPr>
          <w:sz w:val="21"/>
          <w:szCs w:val="21"/>
        </w:rPr>
        <w:t xml:space="preserve"> nell’open air</w:t>
      </w:r>
      <w:r w:rsidR="005818B5" w:rsidRPr="0002142C">
        <w:rPr>
          <w:sz w:val="21"/>
          <w:szCs w:val="21"/>
        </w:rPr>
        <w:t xml:space="preserve"> di 1 milione; si passa quindi dai </w:t>
      </w:r>
      <w:r w:rsidR="00A7185D" w:rsidRPr="0002142C">
        <w:rPr>
          <w:sz w:val="21"/>
          <w:szCs w:val="21"/>
        </w:rPr>
        <w:t xml:space="preserve">73 milioni </w:t>
      </w:r>
      <w:r w:rsidR="005818B5" w:rsidRPr="0002142C">
        <w:rPr>
          <w:sz w:val="21"/>
          <w:szCs w:val="21"/>
        </w:rPr>
        <w:t xml:space="preserve">di presenze </w:t>
      </w:r>
      <w:r w:rsidR="00A7185D" w:rsidRPr="0002142C">
        <w:rPr>
          <w:sz w:val="21"/>
          <w:szCs w:val="21"/>
        </w:rPr>
        <w:t>del 2024 a</w:t>
      </w:r>
      <w:r w:rsidR="005818B5" w:rsidRPr="0002142C">
        <w:rPr>
          <w:sz w:val="21"/>
          <w:szCs w:val="21"/>
        </w:rPr>
        <w:t>i</w:t>
      </w:r>
      <w:r w:rsidR="00A7185D" w:rsidRPr="0002142C">
        <w:rPr>
          <w:sz w:val="21"/>
          <w:szCs w:val="21"/>
        </w:rPr>
        <w:t xml:space="preserve"> </w:t>
      </w:r>
      <w:r w:rsidR="00A7185D" w:rsidRPr="0002142C">
        <w:rPr>
          <w:b/>
          <w:bCs/>
          <w:sz w:val="21"/>
          <w:szCs w:val="21"/>
        </w:rPr>
        <w:t>74 milioni del 2025</w:t>
      </w:r>
      <w:r w:rsidR="00A7185D" w:rsidRPr="0002142C">
        <w:rPr>
          <w:sz w:val="21"/>
          <w:szCs w:val="21"/>
        </w:rPr>
        <w:t>.</w:t>
      </w:r>
      <w:r w:rsidR="00314F12" w:rsidRPr="0002142C">
        <w:rPr>
          <w:sz w:val="21"/>
          <w:szCs w:val="21"/>
        </w:rPr>
        <w:t xml:space="preserve"> </w:t>
      </w:r>
      <w:r w:rsidR="005818B5" w:rsidRPr="0002142C">
        <w:rPr>
          <w:sz w:val="21"/>
          <w:szCs w:val="21"/>
        </w:rPr>
        <w:t xml:space="preserve">Una crescita cui si accompagna anche un </w:t>
      </w:r>
      <w:r w:rsidR="002F7AC5" w:rsidRPr="0002142C">
        <w:rPr>
          <w:sz w:val="21"/>
          <w:szCs w:val="21"/>
        </w:rPr>
        <w:t xml:space="preserve">aumento </w:t>
      </w:r>
      <w:r w:rsidR="005818B5" w:rsidRPr="0002142C">
        <w:rPr>
          <w:sz w:val="21"/>
          <w:szCs w:val="21"/>
        </w:rPr>
        <w:t xml:space="preserve">del </w:t>
      </w:r>
      <w:r w:rsidR="002F7AC5" w:rsidRPr="0002142C">
        <w:rPr>
          <w:b/>
          <w:bCs/>
          <w:sz w:val="21"/>
          <w:szCs w:val="21"/>
        </w:rPr>
        <w:t>fatturato</w:t>
      </w:r>
      <w:r w:rsidR="005818B5" w:rsidRPr="0002142C">
        <w:rPr>
          <w:b/>
          <w:bCs/>
          <w:sz w:val="21"/>
          <w:szCs w:val="21"/>
        </w:rPr>
        <w:t xml:space="preserve">, </w:t>
      </w:r>
      <w:r w:rsidR="005818B5" w:rsidRPr="0002142C">
        <w:rPr>
          <w:sz w:val="21"/>
          <w:szCs w:val="21"/>
        </w:rPr>
        <w:t>che</w:t>
      </w:r>
      <w:r w:rsidR="002F7AC5" w:rsidRPr="0002142C">
        <w:rPr>
          <w:sz w:val="21"/>
          <w:szCs w:val="21"/>
        </w:rPr>
        <w:t xml:space="preserve">, tra diretto e indotto, </w:t>
      </w:r>
      <w:r w:rsidR="005818B5" w:rsidRPr="0002142C">
        <w:rPr>
          <w:sz w:val="21"/>
          <w:szCs w:val="21"/>
        </w:rPr>
        <w:t xml:space="preserve">si attesta sugli </w:t>
      </w:r>
      <w:r w:rsidR="002F7AC5" w:rsidRPr="0002142C">
        <w:rPr>
          <w:b/>
          <w:bCs/>
          <w:sz w:val="21"/>
          <w:szCs w:val="21"/>
        </w:rPr>
        <w:t>8 miliardi e mezzo di euro.</w:t>
      </w:r>
      <w:r w:rsidR="002F7AC5" w:rsidRPr="0002142C">
        <w:rPr>
          <w:sz w:val="21"/>
          <w:szCs w:val="21"/>
        </w:rPr>
        <w:t xml:space="preserve"> </w:t>
      </w:r>
    </w:p>
    <w:p w:rsidR="005818B5" w:rsidRPr="0002142C" w:rsidRDefault="005818B5" w:rsidP="001F0CAC">
      <w:pPr>
        <w:jc w:val="both"/>
        <w:rPr>
          <w:sz w:val="21"/>
          <w:szCs w:val="21"/>
        </w:rPr>
      </w:pPr>
    </w:p>
    <w:p w:rsidR="005818B5" w:rsidRPr="0002142C" w:rsidRDefault="005818B5" w:rsidP="001F0CAC">
      <w:pPr>
        <w:jc w:val="both"/>
        <w:rPr>
          <w:sz w:val="21"/>
          <w:szCs w:val="21"/>
        </w:rPr>
      </w:pPr>
      <w:r w:rsidRPr="0002142C">
        <w:rPr>
          <w:sz w:val="21"/>
          <w:szCs w:val="21"/>
        </w:rPr>
        <w:t>“</w:t>
      </w:r>
      <w:r w:rsidR="00314F12" w:rsidRPr="0002142C">
        <w:rPr>
          <w:sz w:val="21"/>
          <w:szCs w:val="21"/>
        </w:rPr>
        <w:t>L</w:t>
      </w:r>
      <w:r w:rsidRPr="0002142C">
        <w:rPr>
          <w:sz w:val="21"/>
          <w:szCs w:val="21"/>
        </w:rPr>
        <w:t xml:space="preserve">o slancio </w:t>
      </w:r>
      <w:r w:rsidR="00314F12" w:rsidRPr="0002142C">
        <w:rPr>
          <w:sz w:val="21"/>
          <w:szCs w:val="21"/>
        </w:rPr>
        <w:t xml:space="preserve">degli ultimi tre anni </w:t>
      </w:r>
      <w:r w:rsidRPr="0002142C">
        <w:rPr>
          <w:sz w:val="21"/>
          <w:szCs w:val="21"/>
        </w:rPr>
        <w:t xml:space="preserve">si sta trasformando in sviluppo strutturale premiando gli investimenti delle aziende sulla sostenibilità, l’accessibilità e l’innovazione tecnologica”, afferma </w:t>
      </w:r>
      <w:r w:rsidRPr="0002142C">
        <w:rPr>
          <w:b/>
          <w:bCs/>
          <w:sz w:val="21"/>
          <w:szCs w:val="21"/>
        </w:rPr>
        <w:t>Alberto Granzotto, presidente Faita Federcamping</w:t>
      </w:r>
      <w:r w:rsidRPr="0002142C">
        <w:rPr>
          <w:sz w:val="21"/>
          <w:szCs w:val="21"/>
        </w:rPr>
        <w:t>.</w:t>
      </w:r>
    </w:p>
    <w:p w:rsidR="00EA5995" w:rsidRPr="0002142C" w:rsidRDefault="00EA5995" w:rsidP="001F0CAC">
      <w:pPr>
        <w:jc w:val="both"/>
        <w:rPr>
          <w:sz w:val="21"/>
          <w:szCs w:val="21"/>
        </w:rPr>
      </w:pPr>
    </w:p>
    <w:p w:rsidR="001B7A08" w:rsidRPr="0002142C" w:rsidRDefault="00C1755F" w:rsidP="001F0CAC">
      <w:pPr>
        <w:jc w:val="both"/>
        <w:rPr>
          <w:sz w:val="21"/>
          <w:szCs w:val="21"/>
        </w:rPr>
      </w:pPr>
      <w:r w:rsidRPr="0002142C">
        <w:rPr>
          <w:b/>
          <w:bCs/>
          <w:sz w:val="21"/>
          <w:szCs w:val="21"/>
        </w:rPr>
        <w:t>DATI.</w:t>
      </w:r>
      <w:r w:rsidRPr="0002142C">
        <w:rPr>
          <w:sz w:val="21"/>
          <w:szCs w:val="21"/>
        </w:rPr>
        <w:t xml:space="preserve"> </w:t>
      </w:r>
      <w:r w:rsidR="00A31CA3" w:rsidRPr="0002142C">
        <w:rPr>
          <w:sz w:val="21"/>
          <w:szCs w:val="21"/>
        </w:rPr>
        <w:t>Da</w:t>
      </w:r>
      <w:r w:rsidR="00435044" w:rsidRPr="0002142C">
        <w:rPr>
          <w:sz w:val="21"/>
          <w:szCs w:val="21"/>
        </w:rPr>
        <w:t xml:space="preserve">l campione di Faita </w:t>
      </w:r>
      <w:r w:rsidR="00A31CA3" w:rsidRPr="0002142C">
        <w:rPr>
          <w:sz w:val="21"/>
          <w:szCs w:val="21"/>
        </w:rPr>
        <w:t xml:space="preserve">sul </w:t>
      </w:r>
      <w:r w:rsidR="00435044" w:rsidRPr="0002142C">
        <w:rPr>
          <w:sz w:val="21"/>
          <w:szCs w:val="21"/>
        </w:rPr>
        <w:t xml:space="preserve">report </w:t>
      </w:r>
      <w:proofErr w:type="spellStart"/>
      <w:r w:rsidR="00435044" w:rsidRPr="0002142C">
        <w:rPr>
          <w:b/>
          <w:bCs/>
          <w:sz w:val="21"/>
          <w:szCs w:val="21"/>
        </w:rPr>
        <w:t>HBenchmark</w:t>
      </w:r>
      <w:proofErr w:type="spellEnd"/>
      <w:r w:rsidR="00435044" w:rsidRPr="0002142C">
        <w:rPr>
          <w:b/>
          <w:bCs/>
          <w:sz w:val="21"/>
          <w:szCs w:val="21"/>
        </w:rPr>
        <w:t xml:space="preserve"> </w:t>
      </w:r>
      <w:r w:rsidR="00A31CA3" w:rsidRPr="0002142C">
        <w:rPr>
          <w:sz w:val="21"/>
          <w:szCs w:val="21"/>
        </w:rPr>
        <w:t>(</w:t>
      </w:r>
      <w:r w:rsidR="00435044" w:rsidRPr="0002142C">
        <w:rPr>
          <w:sz w:val="21"/>
          <w:szCs w:val="21"/>
        </w:rPr>
        <w:t>102 campeggi e villaggi turistici in 10 regioni italiane per un totale di 37.500 unità di alloggio</w:t>
      </w:r>
      <w:r w:rsidR="00A31CA3" w:rsidRPr="0002142C">
        <w:rPr>
          <w:sz w:val="21"/>
          <w:szCs w:val="21"/>
        </w:rPr>
        <w:t>), risulta che l</w:t>
      </w:r>
      <w:r w:rsidR="00435044" w:rsidRPr="0002142C">
        <w:rPr>
          <w:sz w:val="21"/>
          <w:szCs w:val="21"/>
        </w:rPr>
        <w:t>e unità più vendute</w:t>
      </w:r>
      <w:r w:rsidR="00A31CA3" w:rsidRPr="0002142C">
        <w:rPr>
          <w:sz w:val="21"/>
          <w:szCs w:val="21"/>
        </w:rPr>
        <w:t xml:space="preserve"> sono</w:t>
      </w:r>
      <w:r w:rsidR="00435044" w:rsidRPr="0002142C">
        <w:rPr>
          <w:sz w:val="21"/>
          <w:szCs w:val="21"/>
        </w:rPr>
        <w:t xml:space="preserve"> le piazzole (59% del totale), le mobile home (29%) e i bungalow (11%). </w:t>
      </w:r>
      <w:r w:rsidR="00437C70" w:rsidRPr="0002142C">
        <w:rPr>
          <w:sz w:val="21"/>
          <w:szCs w:val="21"/>
        </w:rPr>
        <w:t xml:space="preserve">Il maggior contributo al fatturato lo danno le mobile home (che concorrono per il 51%), seguite dalle piazzole (29%), e dai bungalow/villette (18%). </w:t>
      </w:r>
      <w:r w:rsidR="00C8302E" w:rsidRPr="0002142C">
        <w:rPr>
          <w:sz w:val="21"/>
          <w:szCs w:val="21"/>
        </w:rPr>
        <w:t xml:space="preserve">Tra gli ospiti che spendono di più per l’alloggio spiccano i danesi, che generano un ricavo medio di 164 euro, seguiti dai Paesi Bassi (135 euro). In ultima posizione, gli italiani, che generano un ricavo medio di 94 euro. </w:t>
      </w:r>
      <w:r w:rsidR="007277EE" w:rsidRPr="0002142C">
        <w:rPr>
          <w:sz w:val="21"/>
          <w:szCs w:val="21"/>
        </w:rPr>
        <w:t>A fermarsi di più nei campeggi e nei villaggi turistici italiani sono gli ospiti dei Paesi Bassi (11,6 notti), seguiti dai danesi (11,2), dai tedeschi (che, 10,4 notti, rimangono il principale bacino di utenza del settore), dagli svizzeri (9,6 notti). La vacanza degli italiani e degli austriaci dura invece poco più di una settimana. Sostanzialmente p</w:t>
      </w:r>
      <w:r w:rsidR="005818B5" w:rsidRPr="0002142C">
        <w:rPr>
          <w:sz w:val="21"/>
          <w:szCs w:val="21"/>
        </w:rPr>
        <w:t xml:space="preserve">ositivo, pur con </w:t>
      </w:r>
      <w:r w:rsidR="00435044" w:rsidRPr="0002142C">
        <w:rPr>
          <w:sz w:val="21"/>
          <w:szCs w:val="21"/>
        </w:rPr>
        <w:t xml:space="preserve">qualche flessione rispetto alle previsioni di maggio, è </w:t>
      </w:r>
      <w:r w:rsidR="007277EE" w:rsidRPr="0002142C">
        <w:rPr>
          <w:sz w:val="21"/>
          <w:szCs w:val="21"/>
        </w:rPr>
        <w:t xml:space="preserve">anche </w:t>
      </w:r>
      <w:r w:rsidR="00435044" w:rsidRPr="0002142C">
        <w:rPr>
          <w:sz w:val="21"/>
          <w:szCs w:val="21"/>
        </w:rPr>
        <w:t xml:space="preserve">il </w:t>
      </w:r>
      <w:r w:rsidR="00435044" w:rsidRPr="0002142C">
        <w:rPr>
          <w:b/>
          <w:bCs/>
          <w:sz w:val="21"/>
          <w:szCs w:val="21"/>
        </w:rPr>
        <w:t>‘sentiment’</w:t>
      </w:r>
      <w:r w:rsidR="00435044" w:rsidRPr="0002142C">
        <w:rPr>
          <w:sz w:val="21"/>
          <w:szCs w:val="21"/>
        </w:rPr>
        <w:t xml:space="preserve"> degli </w:t>
      </w:r>
      <w:r w:rsidR="00435044" w:rsidRPr="0002142C">
        <w:rPr>
          <w:b/>
          <w:bCs/>
          <w:sz w:val="21"/>
          <w:szCs w:val="21"/>
        </w:rPr>
        <w:t>operatori</w:t>
      </w:r>
      <w:r w:rsidR="001B7A08" w:rsidRPr="0002142C">
        <w:rPr>
          <w:b/>
          <w:bCs/>
          <w:sz w:val="21"/>
          <w:szCs w:val="21"/>
        </w:rPr>
        <w:t xml:space="preserve"> </w:t>
      </w:r>
      <w:r w:rsidR="00435044" w:rsidRPr="0002142C">
        <w:rPr>
          <w:sz w:val="21"/>
          <w:szCs w:val="21"/>
        </w:rPr>
        <w:t xml:space="preserve">interpellati dal </w:t>
      </w:r>
      <w:proofErr w:type="spellStart"/>
      <w:r w:rsidR="00435044" w:rsidRPr="0002142C">
        <w:rPr>
          <w:b/>
          <w:bCs/>
          <w:sz w:val="21"/>
          <w:szCs w:val="21"/>
        </w:rPr>
        <w:t>Ciset</w:t>
      </w:r>
      <w:proofErr w:type="spellEnd"/>
      <w:r w:rsidR="00435044" w:rsidRPr="0002142C">
        <w:rPr>
          <w:b/>
          <w:bCs/>
          <w:sz w:val="21"/>
          <w:szCs w:val="21"/>
        </w:rPr>
        <w:t xml:space="preserve"> Ca’ Foscari</w:t>
      </w:r>
      <w:r w:rsidR="00435044" w:rsidRPr="0002142C">
        <w:rPr>
          <w:sz w:val="21"/>
          <w:szCs w:val="21"/>
        </w:rPr>
        <w:t>, che</w:t>
      </w:r>
      <w:r w:rsidR="001F0CAC" w:rsidRPr="0002142C">
        <w:rPr>
          <w:sz w:val="21"/>
          <w:szCs w:val="21"/>
        </w:rPr>
        <w:t>, nell’intervento della direttrice del Centro Ricerche Valeria Minghetti,</w:t>
      </w:r>
      <w:r w:rsidR="00435044" w:rsidRPr="0002142C">
        <w:rPr>
          <w:sz w:val="21"/>
          <w:szCs w:val="21"/>
        </w:rPr>
        <w:t xml:space="preserve"> </w:t>
      </w:r>
      <w:r w:rsidR="007277EE" w:rsidRPr="0002142C">
        <w:rPr>
          <w:sz w:val="21"/>
          <w:szCs w:val="21"/>
        </w:rPr>
        <w:t>comunque</w:t>
      </w:r>
      <w:r w:rsidR="001B7A08" w:rsidRPr="0002142C">
        <w:rPr>
          <w:sz w:val="21"/>
          <w:szCs w:val="21"/>
        </w:rPr>
        <w:t xml:space="preserve"> </w:t>
      </w:r>
      <w:r w:rsidR="00435044" w:rsidRPr="0002142C">
        <w:rPr>
          <w:sz w:val="21"/>
          <w:szCs w:val="21"/>
        </w:rPr>
        <w:t>indicano una lieve diminuzione generale degli ospiti.</w:t>
      </w:r>
    </w:p>
    <w:p w:rsidR="001F0CAC" w:rsidRPr="0002142C" w:rsidRDefault="001F0CAC" w:rsidP="001F0CAC">
      <w:pPr>
        <w:jc w:val="both"/>
        <w:rPr>
          <w:sz w:val="21"/>
          <w:szCs w:val="21"/>
        </w:rPr>
      </w:pPr>
    </w:p>
    <w:p w:rsidR="001F0CAC" w:rsidRPr="0002142C" w:rsidRDefault="001F0CAC" w:rsidP="001F0CAC">
      <w:pPr>
        <w:jc w:val="both"/>
        <w:rPr>
          <w:sz w:val="21"/>
          <w:szCs w:val="21"/>
        </w:rPr>
      </w:pPr>
      <w:r w:rsidRPr="0002142C">
        <w:rPr>
          <w:b/>
          <w:bCs/>
          <w:sz w:val="21"/>
          <w:szCs w:val="21"/>
        </w:rPr>
        <w:t xml:space="preserve">ACCESSIBILITÀ. </w:t>
      </w:r>
      <w:r w:rsidRPr="0002142C">
        <w:rPr>
          <w:sz w:val="21"/>
          <w:szCs w:val="21"/>
        </w:rPr>
        <w:t xml:space="preserve">Con una popolazione che invecchia rapidamente, si impone il tema dell’accessibilità. Per anziani, famiglie con bambini, persone con disabilità temporanee o permanenti. Nel suo intervento al Forum, Roberto Vitali (Fondatore del network Village 4 </w:t>
      </w:r>
      <w:proofErr w:type="spellStart"/>
      <w:r w:rsidRPr="0002142C">
        <w:rPr>
          <w:sz w:val="21"/>
          <w:szCs w:val="21"/>
        </w:rPr>
        <w:t>All</w:t>
      </w:r>
      <w:proofErr w:type="spellEnd"/>
      <w:r w:rsidRPr="0002142C">
        <w:rPr>
          <w:sz w:val="21"/>
          <w:szCs w:val="21"/>
        </w:rPr>
        <w:t xml:space="preserve">), </w:t>
      </w:r>
      <w:r w:rsidR="00314F12" w:rsidRPr="0002142C">
        <w:rPr>
          <w:sz w:val="21"/>
          <w:szCs w:val="21"/>
        </w:rPr>
        <w:t xml:space="preserve">porta alcuni dati e una considerazione: </w:t>
      </w:r>
      <w:r w:rsidRPr="0002142C">
        <w:rPr>
          <w:sz w:val="21"/>
          <w:szCs w:val="21"/>
        </w:rPr>
        <w:t xml:space="preserve">le persone con disabilità nella Ue sono il 17% della popolazione (un mercato di oltre 80 milioni di persone), il 40% sono invece viaggiatori senior. “Ogni barriere è un cliente perso, un’opportunità mancata, una promessa non mantenuta”, afferma Vitali. </w:t>
      </w:r>
    </w:p>
    <w:p w:rsidR="00606C49" w:rsidRPr="0002142C" w:rsidRDefault="00606C49" w:rsidP="001F0CAC">
      <w:pPr>
        <w:jc w:val="both"/>
        <w:rPr>
          <w:sz w:val="21"/>
          <w:szCs w:val="21"/>
        </w:rPr>
      </w:pPr>
    </w:p>
    <w:p w:rsidR="00FA4064" w:rsidRDefault="00224051" w:rsidP="001F0CAC">
      <w:pPr>
        <w:jc w:val="both"/>
        <w:rPr>
          <w:sz w:val="21"/>
          <w:szCs w:val="21"/>
          <w:lang w:eastAsia="it-IT"/>
        </w:rPr>
      </w:pPr>
      <w:r w:rsidRPr="0002142C">
        <w:rPr>
          <w:b/>
          <w:bCs/>
          <w:sz w:val="21"/>
          <w:szCs w:val="21"/>
        </w:rPr>
        <w:t>SOSTENIBILITÀ.</w:t>
      </w:r>
      <w:r w:rsidRPr="0002142C">
        <w:rPr>
          <w:sz w:val="21"/>
          <w:szCs w:val="21"/>
        </w:rPr>
        <w:t xml:space="preserve"> </w:t>
      </w:r>
      <w:r w:rsidR="00FA4064" w:rsidRPr="00FA4064">
        <w:rPr>
          <w:sz w:val="21"/>
          <w:szCs w:val="21"/>
          <w:lang w:eastAsia="it-IT"/>
        </w:rPr>
        <w:t>Un contributo alla sostenibilità viene da Crippaconcept, che ha avviato un percorso di rendicontazione ambientale sulle</w:t>
      </w:r>
      <w:r w:rsidR="00FA4064">
        <w:rPr>
          <w:sz w:val="21"/>
          <w:szCs w:val="21"/>
          <w:lang w:eastAsia="it-IT"/>
        </w:rPr>
        <w:t xml:space="preserve"> </w:t>
      </w:r>
      <w:r w:rsidR="00FA4064" w:rsidRPr="00FA4064">
        <w:rPr>
          <w:sz w:val="21"/>
          <w:szCs w:val="21"/>
          <w:lang w:eastAsia="it-IT"/>
        </w:rPr>
        <w:t>proprie mobile home</w:t>
      </w:r>
      <w:r w:rsidR="00035319">
        <w:rPr>
          <w:sz w:val="21"/>
          <w:szCs w:val="21"/>
          <w:lang w:eastAsia="it-IT"/>
        </w:rPr>
        <w:t xml:space="preserve"> </w:t>
      </w:r>
      <w:r w:rsidR="00FA4064" w:rsidRPr="00FA4064">
        <w:rPr>
          <w:sz w:val="21"/>
          <w:szCs w:val="21"/>
          <w:lang w:eastAsia="it-IT"/>
        </w:rPr>
        <w:t>attraverso studi LCA e l’adesione al protocollo EPD.</w:t>
      </w:r>
      <w:r w:rsidR="00FA4064">
        <w:rPr>
          <w:sz w:val="21"/>
          <w:szCs w:val="21"/>
          <w:lang w:eastAsia="it-IT"/>
        </w:rPr>
        <w:t xml:space="preserve"> </w:t>
      </w:r>
      <w:r w:rsidR="00FA4064" w:rsidRPr="00FA4064">
        <w:rPr>
          <w:sz w:val="21"/>
          <w:szCs w:val="21"/>
          <w:lang w:eastAsia="it-IT"/>
        </w:rPr>
        <w:t>I primi risultati dello studio condotto sull’unità pilota installata presso il Villaggio Turistico Internazionale indicano che una mobile home assemblata genera circa 780 kg di CO₂ equivalente per metro quadro.</w:t>
      </w:r>
      <w:r w:rsidR="00FA4064">
        <w:rPr>
          <w:sz w:val="21"/>
          <w:szCs w:val="21"/>
          <w:lang w:eastAsia="it-IT"/>
        </w:rPr>
        <w:t xml:space="preserve"> </w:t>
      </w:r>
      <w:r w:rsidR="00FA4064" w:rsidRPr="00FA4064">
        <w:rPr>
          <w:sz w:val="21"/>
          <w:szCs w:val="21"/>
          <w:lang w:eastAsia="it-IT"/>
        </w:rPr>
        <w:t>Considerando l’intero ciclo di vita – dalla produzione, all’uso, fino alla dismissione – l’impatto complessivo arriva a circa 1.100 kg </w:t>
      </w:r>
      <w:proofErr w:type="spellStart"/>
      <w:r w:rsidR="00FA4064" w:rsidRPr="00FA4064">
        <w:rPr>
          <w:sz w:val="21"/>
          <w:szCs w:val="21"/>
          <w:lang w:eastAsia="it-IT"/>
        </w:rPr>
        <w:t>CO₂eq</w:t>
      </w:r>
      <w:proofErr w:type="spellEnd"/>
      <w:r w:rsidR="00FA4064" w:rsidRPr="00FA4064">
        <w:rPr>
          <w:sz w:val="21"/>
          <w:szCs w:val="21"/>
          <w:lang w:eastAsia="it-IT"/>
        </w:rPr>
        <w:t>/m².</w:t>
      </w:r>
      <w:r w:rsidR="00FA4064">
        <w:rPr>
          <w:sz w:val="21"/>
          <w:szCs w:val="21"/>
          <w:lang w:eastAsia="it-IT"/>
        </w:rPr>
        <w:t xml:space="preserve"> </w:t>
      </w:r>
      <w:r w:rsidR="00FA4064" w:rsidRPr="00FA4064">
        <w:rPr>
          <w:sz w:val="21"/>
          <w:szCs w:val="21"/>
          <w:lang w:eastAsia="it-IT"/>
        </w:rPr>
        <w:t>L’obiettivo è rendere misurabili e comparabili le performance ambientali dell’ospitalità open air, per favorire scelte più consapevoli e coerenti con gli obiettivi ESG del settore.</w:t>
      </w:r>
    </w:p>
    <w:p w:rsidR="001F0CAC" w:rsidRDefault="00192CCF" w:rsidP="001F0CAC">
      <w:pPr>
        <w:jc w:val="both"/>
        <w:rPr>
          <w:sz w:val="22"/>
          <w:szCs w:val="22"/>
          <w:lang w:eastAsia="it-IT"/>
        </w:rPr>
      </w:pPr>
      <w:r>
        <w:rPr>
          <w:sz w:val="22"/>
          <w:szCs w:val="22"/>
          <w:lang w:eastAsia="it-IT"/>
        </w:rPr>
        <w:t>-------------</w:t>
      </w:r>
    </w:p>
    <w:p w:rsidR="00192CCF" w:rsidRPr="00080984" w:rsidRDefault="00192CCF" w:rsidP="00192CCF">
      <w:pPr>
        <w:jc w:val="both"/>
        <w:rPr>
          <w:rFonts w:ascii="Century Gothic" w:hAnsi="Century Gothic" w:cs="Calibri"/>
          <w:b/>
          <w:sz w:val="10"/>
          <w:szCs w:val="10"/>
        </w:rPr>
      </w:pPr>
      <w:r w:rsidRPr="00080984">
        <w:rPr>
          <w:rFonts w:ascii="Arial" w:hAnsi="Arial" w:cs="Arial"/>
          <w:bCs/>
          <w:color w:val="222222"/>
          <w:sz w:val="10"/>
          <w:szCs w:val="10"/>
          <w:u w:val="single"/>
        </w:rPr>
        <w:t>MAIN PARTNER</w:t>
      </w:r>
    </w:p>
    <w:p w:rsidR="00192CCF" w:rsidRPr="00080984" w:rsidRDefault="00192CCF" w:rsidP="00192CCF">
      <w:pPr>
        <w:jc w:val="both"/>
        <w:rPr>
          <w:rFonts w:ascii="Century Gothic" w:hAnsi="Century Gothic" w:cs="Calibri"/>
          <w:bCs/>
          <w:sz w:val="10"/>
          <w:szCs w:val="10"/>
        </w:rPr>
      </w:pPr>
      <w:r w:rsidRPr="00080984">
        <w:rPr>
          <w:rFonts w:ascii="Century Gothic" w:hAnsi="Century Gothic" w:cs="Calibri"/>
          <w:b/>
          <w:sz w:val="10"/>
          <w:szCs w:val="10"/>
        </w:rPr>
        <w:t>Crippaconcept</w:t>
      </w:r>
      <w:r w:rsidRPr="00080984">
        <w:rPr>
          <w:rFonts w:ascii="Century Gothic" w:hAnsi="Century Gothic" w:cs="Calibri"/>
          <w:bCs/>
          <w:sz w:val="10"/>
          <w:szCs w:val="10"/>
        </w:rPr>
        <w:t xml:space="preserve"> è il brand italiano di mobile home e lodge </w:t>
      </w:r>
      <w:proofErr w:type="spellStart"/>
      <w:r w:rsidRPr="00080984">
        <w:rPr>
          <w:rFonts w:ascii="Century Gothic" w:hAnsi="Century Gothic" w:cs="Calibri"/>
          <w:bCs/>
          <w:sz w:val="10"/>
          <w:szCs w:val="10"/>
        </w:rPr>
        <w:t>tent</w:t>
      </w:r>
      <w:proofErr w:type="spellEnd"/>
      <w:r w:rsidRPr="00080984">
        <w:rPr>
          <w:rFonts w:ascii="Century Gothic" w:hAnsi="Century Gothic" w:cs="Calibri"/>
          <w:bCs/>
          <w:sz w:val="10"/>
          <w:szCs w:val="10"/>
        </w:rPr>
        <w:t xml:space="preserve"> per il turismo open air. Nato nel 1975 come impresa di tende fondata dalle sorelle Crippa (</w:t>
      </w:r>
      <w:proofErr w:type="spellStart"/>
      <w:r w:rsidRPr="00080984">
        <w:rPr>
          <w:rFonts w:ascii="Century Gothic" w:hAnsi="Century Gothic" w:cs="Calibri"/>
          <w:bCs/>
          <w:sz w:val="10"/>
          <w:szCs w:val="10"/>
        </w:rPr>
        <w:t>Crippacampeggio</w:t>
      </w:r>
      <w:proofErr w:type="spellEnd"/>
      <w:r w:rsidRPr="00080984">
        <w:rPr>
          <w:rFonts w:ascii="Century Gothic" w:hAnsi="Century Gothic" w:cs="Calibri"/>
          <w:bCs/>
          <w:sz w:val="10"/>
          <w:szCs w:val="10"/>
        </w:rPr>
        <w:t xml:space="preserve">), oggi progetta e produce soluzioni abitative mobili in quattro stabilimenti tra Italia e Croazia, con una capacità produttiva fino a 25 unità al giorno. Dal 2010 è specializzata in design industriale per l’ospitalità all’aria aperta. Nel 2024 ha ottenuto la certificazione 100% Made in </w:t>
      </w:r>
      <w:proofErr w:type="spellStart"/>
      <w:r w:rsidRPr="00080984">
        <w:rPr>
          <w:rFonts w:ascii="Century Gothic" w:hAnsi="Century Gothic" w:cs="Calibri"/>
          <w:bCs/>
          <w:sz w:val="10"/>
          <w:szCs w:val="10"/>
        </w:rPr>
        <w:t>Italy</w:t>
      </w:r>
      <w:proofErr w:type="spellEnd"/>
      <w:r w:rsidRPr="00080984">
        <w:rPr>
          <w:rFonts w:ascii="Century Gothic" w:hAnsi="Century Gothic" w:cs="Calibri"/>
          <w:bCs/>
          <w:sz w:val="10"/>
          <w:szCs w:val="10"/>
        </w:rPr>
        <w:t>. Nel 2025 ha inaugurato a Torre d’Isola (PV) una falegnameria interna di 6.600 m², cuore produttivo e sede del primo showroom open air permanente in Italia. La rete commerciale copre l’Europa con filiali dirette in Croazia, Olanda e Francia, e una presenza continuativa in Germania, Svizzera, Austria e Spagna.</w:t>
      </w:r>
    </w:p>
    <w:p w:rsidR="00192CCF" w:rsidRPr="00080984" w:rsidRDefault="00192CCF" w:rsidP="00192CCF">
      <w:pPr>
        <w:jc w:val="both"/>
        <w:rPr>
          <w:rFonts w:ascii="Century Gothic" w:hAnsi="Century Gothic" w:cs="Calibri"/>
          <w:bCs/>
          <w:sz w:val="10"/>
          <w:szCs w:val="10"/>
        </w:rPr>
      </w:pPr>
      <w:r w:rsidRPr="00080984">
        <w:rPr>
          <w:rFonts w:ascii="Century Gothic" w:hAnsi="Century Gothic" w:cs="Calibri"/>
          <w:bCs/>
          <w:sz w:val="10"/>
          <w:szCs w:val="10"/>
        </w:rPr>
        <w:t xml:space="preserve">*Crippaconcept® Nuovi Sogni® </w:t>
      </w:r>
      <w:proofErr w:type="spellStart"/>
      <w:r w:rsidRPr="00080984">
        <w:rPr>
          <w:rFonts w:ascii="Century Gothic" w:hAnsi="Century Gothic" w:cs="Calibri"/>
          <w:bCs/>
          <w:sz w:val="10"/>
          <w:szCs w:val="10"/>
        </w:rPr>
        <w:t>Waterdream</w:t>
      </w:r>
      <w:proofErr w:type="spellEnd"/>
      <w:r w:rsidRPr="00080984">
        <w:rPr>
          <w:rFonts w:ascii="Century Gothic" w:hAnsi="Century Gothic" w:cs="Calibri"/>
          <w:bCs/>
          <w:sz w:val="10"/>
          <w:szCs w:val="10"/>
        </w:rPr>
        <w:t xml:space="preserve">® sono marchi registrati di </w:t>
      </w:r>
      <w:proofErr w:type="spellStart"/>
      <w:r w:rsidRPr="00080984">
        <w:rPr>
          <w:rFonts w:ascii="Century Gothic" w:hAnsi="Century Gothic" w:cs="Calibri"/>
          <w:bCs/>
          <w:sz w:val="10"/>
          <w:szCs w:val="10"/>
        </w:rPr>
        <w:t>Crippacampeggio</w:t>
      </w:r>
      <w:proofErr w:type="spellEnd"/>
      <w:r w:rsidRPr="00080984">
        <w:rPr>
          <w:rFonts w:ascii="Century Gothic" w:hAnsi="Century Gothic" w:cs="Calibri"/>
          <w:bCs/>
          <w:sz w:val="10"/>
          <w:szCs w:val="10"/>
        </w:rPr>
        <w:t xml:space="preserve"> </w:t>
      </w:r>
      <w:proofErr w:type="spellStart"/>
      <w:r w:rsidRPr="00080984">
        <w:rPr>
          <w:rFonts w:ascii="Century Gothic" w:hAnsi="Century Gothic" w:cs="Calibri"/>
          <w:bCs/>
          <w:sz w:val="10"/>
          <w:szCs w:val="10"/>
        </w:rPr>
        <w:t>Srl</w:t>
      </w:r>
      <w:proofErr w:type="spellEnd"/>
      <w:r w:rsidRPr="00080984">
        <w:rPr>
          <w:rFonts w:ascii="Century Gothic" w:hAnsi="Century Gothic" w:cs="Calibri"/>
          <w:bCs/>
          <w:sz w:val="10"/>
          <w:szCs w:val="10"/>
        </w:rPr>
        <w:t xml:space="preserve"> a socio unico. </w:t>
      </w:r>
      <w:hyperlink r:id="rId6" w:history="1">
        <w:r w:rsidRPr="00080984">
          <w:rPr>
            <w:rStyle w:val="Collegamentoipertestuale"/>
            <w:rFonts w:ascii="Century Gothic" w:hAnsi="Century Gothic" w:cs="Calibri"/>
            <w:bCs/>
            <w:sz w:val="10"/>
            <w:szCs w:val="10"/>
          </w:rPr>
          <w:t>www.crippaconcept.com</w:t>
        </w:r>
      </w:hyperlink>
    </w:p>
    <w:p w:rsidR="00192CCF" w:rsidRPr="00080984" w:rsidRDefault="00192CCF" w:rsidP="00192CCF">
      <w:pPr>
        <w:jc w:val="both"/>
        <w:rPr>
          <w:rFonts w:ascii="Century Gothic" w:hAnsi="Century Gothic" w:cs="Calibri"/>
          <w:bCs/>
          <w:i/>
          <w:iCs/>
          <w:sz w:val="10"/>
          <w:szCs w:val="10"/>
        </w:rPr>
      </w:pPr>
    </w:p>
    <w:p w:rsidR="00B73B53" w:rsidRPr="00192CCF" w:rsidRDefault="00192CCF" w:rsidP="00192CCF">
      <w:pPr>
        <w:jc w:val="both"/>
        <w:rPr>
          <w:sz w:val="10"/>
          <w:szCs w:val="10"/>
        </w:rPr>
      </w:pPr>
      <w:r w:rsidRPr="00080984">
        <w:rPr>
          <w:rFonts w:ascii="Century Gothic" w:hAnsi="Century Gothic" w:cs="Calibri"/>
          <w:b/>
          <w:bCs/>
          <w:sz w:val="10"/>
          <w:szCs w:val="10"/>
        </w:rPr>
        <w:t>Intesa Sanpaolo</w:t>
      </w:r>
      <w:r w:rsidRPr="00080984">
        <w:rPr>
          <w:rFonts w:ascii="Century Gothic" w:hAnsi="Century Gothic" w:cs="Calibri"/>
          <w:i/>
          <w:iCs/>
          <w:sz w:val="10"/>
          <w:szCs w:val="10"/>
        </w:rPr>
        <w:t>,</w:t>
      </w:r>
      <w:r w:rsidRPr="00080984">
        <w:rPr>
          <w:sz w:val="10"/>
          <w:szCs w:val="10"/>
        </w:rPr>
        <w:t xml:space="preserve"> </w:t>
      </w:r>
      <w:r w:rsidRPr="00080984">
        <w:rPr>
          <w:rFonts w:ascii="Century Gothic" w:hAnsi="Century Gothic" w:cs="Calibri"/>
          <w:i/>
          <w:iCs/>
          <w:sz w:val="10"/>
          <w:szCs w:val="10"/>
        </w:rPr>
        <w:t xml:space="preserve">con 419 miliardi di euro di impieghi e 1.400 miliardi di euro di attività finanziaria della clientela a fine giugno 2025, è il maggior gruppo bancario in Italia con una significativa presenza internazionale. </w:t>
      </w:r>
      <w:proofErr w:type="gramStart"/>
      <w:r w:rsidRPr="00080984">
        <w:rPr>
          <w:rFonts w:ascii="Century Gothic" w:hAnsi="Century Gothic" w:cs="Calibri"/>
          <w:i/>
          <w:iCs/>
          <w:sz w:val="10"/>
          <w:szCs w:val="10"/>
        </w:rPr>
        <w:t>E’</w:t>
      </w:r>
      <w:proofErr w:type="gramEnd"/>
      <w:r w:rsidRPr="00080984">
        <w:rPr>
          <w:rFonts w:ascii="Century Gothic" w:hAnsi="Century Gothic" w:cs="Calibri"/>
          <w:i/>
          <w:iCs/>
          <w:sz w:val="10"/>
          <w:szCs w:val="10"/>
        </w:rPr>
        <w:t xml:space="preserve"> leader a livello europeo nel wealth management, con un forte orientamento al digitale e al fintech. In ambito ESG, entro il 2025, sono previsti 115 miliardi di euro di erogazioni Impact per la comunità e la transizione verde. Il programma a favore e a supporto delle persone in difficoltà è di 1,5 miliardi di euro (2023-2027). La rete museale della Banca, le Gallerie d’Italia, è sede espositiva del patrimonio artistico di proprietà e di progetti culturali di riconosciuto valore.</w:t>
      </w:r>
    </w:p>
    <w:sectPr w:rsidR="00B73B53" w:rsidRPr="00192CCF" w:rsidSect="00192CCF">
      <w:headerReference w:type="default" r:id="rId7"/>
      <w:footerReference w:type="default" r:id="rId8"/>
      <w:pgSz w:w="11906" w:h="16838"/>
      <w:pgMar w:top="907" w:right="907" w:bottom="907" w:left="90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06B" w:rsidRDefault="0035706B" w:rsidP="00B73B53">
      <w:r>
        <w:separator/>
      </w:r>
    </w:p>
  </w:endnote>
  <w:endnote w:type="continuationSeparator" w:id="0">
    <w:p w:rsidR="0035706B" w:rsidRDefault="0035706B" w:rsidP="00B7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0CAC" w:rsidRDefault="001F0CAC" w:rsidP="00B73B53">
    <w:pPr>
      <w:tabs>
        <w:tab w:val="left" w:pos="4858"/>
      </w:tabs>
      <w:spacing w:after="100"/>
      <w:ind w:left="38"/>
      <w:jc w:val="center"/>
      <w:rPr>
        <w:rFonts w:ascii="Montserrat" w:eastAsia="Montserrat" w:hAnsi="Montserrat" w:cs="Montserrat"/>
        <w:b/>
        <w:bCs/>
        <w:color w:val="1C4C9B"/>
        <w:sz w:val="13"/>
        <w:szCs w:val="13"/>
        <w:u w:color="1C4C9B"/>
      </w:rPr>
    </w:pPr>
  </w:p>
  <w:p w:rsidR="001F0CAC" w:rsidRDefault="001F0CAC" w:rsidP="001F0CAC">
    <w:pPr>
      <w:jc w:val="center"/>
      <w:rPr>
        <w:rStyle w:val="Collegamentoipertestuale"/>
        <w:rFonts w:cstheme="minorHAnsi"/>
        <w:sz w:val="22"/>
        <w:szCs w:val="22"/>
      </w:rPr>
    </w:pPr>
    <w:r>
      <w:rPr>
        <w:rFonts w:ascii="Montserrat" w:eastAsia="Montserrat" w:hAnsi="Montserrat" w:cs="Montserrat"/>
        <w:b/>
        <w:bCs/>
        <w:color w:val="1C4C9B"/>
        <w:sz w:val="13"/>
        <w:szCs w:val="13"/>
        <w:u w:color="1C4C9B"/>
      </w:rPr>
      <w:t xml:space="preserve">Info stampa: Laura Ferretto – </w:t>
    </w:r>
    <w:hyperlink r:id="rId1" w:history="1">
      <w:r w:rsidRPr="00D805B3">
        <w:rPr>
          <w:rStyle w:val="Collegamentoipertestuale"/>
          <w:rFonts w:ascii="Montserrat" w:eastAsia="Montserrat" w:hAnsi="Montserrat" w:cs="Montserrat"/>
          <w:b/>
          <w:bCs/>
          <w:sz w:val="13"/>
          <w:szCs w:val="13"/>
        </w:rPr>
        <w:t>lauraferretto61@gmail.com</w:t>
      </w:r>
    </w:hyperlink>
    <w:r>
      <w:rPr>
        <w:rFonts w:ascii="Montserrat" w:eastAsia="Montserrat" w:hAnsi="Montserrat" w:cs="Montserrat"/>
        <w:b/>
        <w:bCs/>
        <w:color w:val="1C4C9B"/>
        <w:sz w:val="13"/>
        <w:szCs w:val="13"/>
        <w:u w:color="1C4C9B"/>
      </w:rPr>
      <w:t xml:space="preserve"> – </w:t>
    </w:r>
    <w:proofErr w:type="spellStart"/>
    <w:r>
      <w:rPr>
        <w:rFonts w:ascii="Montserrat" w:eastAsia="Montserrat" w:hAnsi="Montserrat" w:cs="Montserrat"/>
        <w:b/>
        <w:bCs/>
        <w:color w:val="1C4C9B"/>
        <w:sz w:val="13"/>
        <w:szCs w:val="13"/>
        <w:u w:color="1C4C9B"/>
      </w:rPr>
      <w:t>cell</w:t>
    </w:r>
    <w:proofErr w:type="spellEnd"/>
    <w:r>
      <w:rPr>
        <w:rFonts w:ascii="Montserrat" w:eastAsia="Montserrat" w:hAnsi="Montserrat" w:cs="Montserrat"/>
        <w:b/>
        <w:bCs/>
        <w:color w:val="1C4C9B"/>
        <w:sz w:val="13"/>
        <w:szCs w:val="13"/>
        <w:u w:color="1C4C9B"/>
      </w:rPr>
      <w:t>. 342 8584814</w:t>
    </w:r>
  </w:p>
  <w:p w:rsidR="001F0CAC" w:rsidRPr="001F0CAC" w:rsidRDefault="001F0CAC" w:rsidP="001F0CAC">
    <w:pPr>
      <w:jc w:val="center"/>
      <w:rPr>
        <w:rFonts w:cstheme="minorHAnsi"/>
        <w:color w:val="0563C1" w:themeColor="hyperlink"/>
        <w:sz w:val="22"/>
        <w:szCs w:val="22"/>
        <w:u w:val="single"/>
      </w:rPr>
    </w:pPr>
  </w:p>
  <w:p w:rsidR="00B73B53" w:rsidRPr="00314F12" w:rsidRDefault="00B73B53" w:rsidP="00B73B53">
    <w:pPr>
      <w:tabs>
        <w:tab w:val="left" w:pos="4858"/>
      </w:tabs>
      <w:spacing w:after="100"/>
      <w:ind w:left="38"/>
      <w:jc w:val="center"/>
      <w:rPr>
        <w:rFonts w:ascii="Montserrat" w:eastAsia="Montserrat" w:hAnsi="Montserrat" w:cs="Montserrat"/>
        <w:color w:val="1C4C9B"/>
        <w:sz w:val="11"/>
        <w:szCs w:val="11"/>
        <w:u w:color="1C4C9B"/>
      </w:rPr>
    </w:pPr>
    <w:r w:rsidRPr="00314F12">
      <w:rPr>
        <w:rFonts w:ascii="Montserrat" w:eastAsia="Montserrat" w:hAnsi="Montserrat" w:cs="Montserrat"/>
        <w:b/>
        <w:bCs/>
        <w:color w:val="1C4C9B"/>
        <w:sz w:val="11"/>
        <w:szCs w:val="11"/>
        <w:u w:color="1C4C9B"/>
      </w:rPr>
      <w:t xml:space="preserve">FAITA FEDERCAMPING – </w:t>
    </w:r>
    <w:r w:rsidRPr="00314F12">
      <w:rPr>
        <w:rFonts w:ascii="Montserrat" w:eastAsia="Montserrat" w:hAnsi="Montserrat" w:cs="Montserrat"/>
        <w:color w:val="1C4C9B"/>
        <w:sz w:val="11"/>
        <w:szCs w:val="11"/>
        <w:u w:color="1C4C9B"/>
      </w:rPr>
      <w:t>FEDERAZIONE DELLE ASSOCIAZIONI ITALIANE DEI COMPLESSI TURISTICO RICETTIVI ALL’ARIA APERTA</w:t>
    </w:r>
  </w:p>
  <w:p w:rsidR="00B73B53" w:rsidRPr="00314F12" w:rsidRDefault="00B73B53" w:rsidP="001F0CAC">
    <w:pPr>
      <w:jc w:val="center"/>
      <w:rPr>
        <w:rFonts w:ascii="Montserrat" w:eastAsia="Montserrat" w:hAnsi="Montserrat" w:cs="Montserrat"/>
        <w:color w:val="1C4C9B"/>
        <w:sz w:val="11"/>
        <w:szCs w:val="11"/>
        <w:u w:color="1C4C9B"/>
      </w:rPr>
    </w:pPr>
    <w:r w:rsidRPr="00314F12">
      <w:rPr>
        <w:rFonts w:ascii="Montserrat" w:eastAsia="Montserrat" w:hAnsi="Montserrat" w:cs="Montserrat"/>
        <w:color w:val="1C4C9B"/>
        <w:sz w:val="11"/>
        <w:szCs w:val="11"/>
        <w:u w:color="1C4C9B"/>
      </w:rPr>
      <w:t>Aderente CONFCOMMERCIO, CONFTURISMO ed EFCO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06B" w:rsidRDefault="0035706B" w:rsidP="00B73B53">
      <w:r>
        <w:separator/>
      </w:r>
    </w:p>
  </w:footnote>
  <w:footnote w:type="continuationSeparator" w:id="0">
    <w:p w:rsidR="0035706B" w:rsidRDefault="0035706B" w:rsidP="00B7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53" w:rsidRDefault="00B73B53" w:rsidP="00B73B53">
    <w:pPr>
      <w:pStyle w:val="Intestazione"/>
      <w:jc w:val="center"/>
    </w:pPr>
    <w:r>
      <w:rPr>
        <w:noProof/>
      </w:rPr>
      <w:drawing>
        <wp:inline distT="0" distB="0" distL="0" distR="0" wp14:anchorId="43786834" wp14:editId="7D427DF6">
          <wp:extent cx="1166400" cy="1080000"/>
          <wp:effectExtent l="0" t="0" r="2540" b="0"/>
          <wp:docPr id="32368098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1166400" cy="108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97"/>
    <w:rsid w:val="0002142C"/>
    <w:rsid w:val="00035319"/>
    <w:rsid w:val="001365A0"/>
    <w:rsid w:val="00192CCF"/>
    <w:rsid w:val="001B7A08"/>
    <w:rsid w:val="001C2E63"/>
    <w:rsid w:val="001F0CAC"/>
    <w:rsid w:val="00224051"/>
    <w:rsid w:val="002A6049"/>
    <w:rsid w:val="002F7AC5"/>
    <w:rsid w:val="00314F12"/>
    <w:rsid w:val="00356719"/>
    <w:rsid w:val="0035706B"/>
    <w:rsid w:val="00435044"/>
    <w:rsid w:val="00437C70"/>
    <w:rsid w:val="004A4B66"/>
    <w:rsid w:val="00543DC9"/>
    <w:rsid w:val="005818B5"/>
    <w:rsid w:val="005C0FB0"/>
    <w:rsid w:val="00606C49"/>
    <w:rsid w:val="00633313"/>
    <w:rsid w:val="00653E24"/>
    <w:rsid w:val="00663A1E"/>
    <w:rsid w:val="006722D4"/>
    <w:rsid w:val="006B1EEB"/>
    <w:rsid w:val="007277EE"/>
    <w:rsid w:val="00736F81"/>
    <w:rsid w:val="00776DB8"/>
    <w:rsid w:val="0081506D"/>
    <w:rsid w:val="00903802"/>
    <w:rsid w:val="009121F7"/>
    <w:rsid w:val="00954F97"/>
    <w:rsid w:val="00961AF1"/>
    <w:rsid w:val="00A31CA3"/>
    <w:rsid w:val="00A469DE"/>
    <w:rsid w:val="00A7185D"/>
    <w:rsid w:val="00A87974"/>
    <w:rsid w:val="00AB2B99"/>
    <w:rsid w:val="00AC0937"/>
    <w:rsid w:val="00AD1826"/>
    <w:rsid w:val="00B237AC"/>
    <w:rsid w:val="00B517D0"/>
    <w:rsid w:val="00B73B53"/>
    <w:rsid w:val="00BE1699"/>
    <w:rsid w:val="00C1755F"/>
    <w:rsid w:val="00C8302E"/>
    <w:rsid w:val="00CF4653"/>
    <w:rsid w:val="00D406AE"/>
    <w:rsid w:val="00D7053E"/>
    <w:rsid w:val="00D81E83"/>
    <w:rsid w:val="00E05CF4"/>
    <w:rsid w:val="00EA5995"/>
    <w:rsid w:val="00EE05BB"/>
    <w:rsid w:val="00EF5711"/>
    <w:rsid w:val="00EF7EBD"/>
    <w:rsid w:val="00F1594B"/>
    <w:rsid w:val="00F16A33"/>
    <w:rsid w:val="00FA392C"/>
    <w:rsid w:val="00FA4064"/>
    <w:rsid w:val="00FC2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59E"/>
  <w15:chartTrackingRefBased/>
  <w15:docId w15:val="{1A553BBA-452B-514A-BBD0-9CC013BD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4F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54F97"/>
    <w:rPr>
      <w:color w:val="0563C1" w:themeColor="hyperlink"/>
      <w:u w:val="single"/>
    </w:rPr>
  </w:style>
  <w:style w:type="paragraph" w:styleId="Intestazione">
    <w:name w:val="header"/>
    <w:basedOn w:val="Normale"/>
    <w:link w:val="IntestazioneCarattere"/>
    <w:uiPriority w:val="99"/>
    <w:unhideWhenUsed/>
    <w:rsid w:val="00B73B53"/>
    <w:pPr>
      <w:tabs>
        <w:tab w:val="center" w:pos="4819"/>
        <w:tab w:val="right" w:pos="9638"/>
      </w:tabs>
    </w:pPr>
  </w:style>
  <w:style w:type="character" w:customStyle="1" w:styleId="IntestazioneCarattere">
    <w:name w:val="Intestazione Carattere"/>
    <w:basedOn w:val="Carpredefinitoparagrafo"/>
    <w:link w:val="Intestazione"/>
    <w:uiPriority w:val="99"/>
    <w:rsid w:val="00B73B53"/>
  </w:style>
  <w:style w:type="paragraph" w:styleId="Pidipagina">
    <w:name w:val="footer"/>
    <w:basedOn w:val="Normale"/>
    <w:link w:val="PidipaginaCarattere"/>
    <w:uiPriority w:val="99"/>
    <w:unhideWhenUsed/>
    <w:rsid w:val="00B73B53"/>
    <w:pPr>
      <w:tabs>
        <w:tab w:val="center" w:pos="4819"/>
        <w:tab w:val="right" w:pos="9638"/>
      </w:tabs>
    </w:pPr>
  </w:style>
  <w:style w:type="character" w:customStyle="1" w:styleId="PidipaginaCarattere">
    <w:name w:val="Piè di pagina Carattere"/>
    <w:basedOn w:val="Carpredefinitoparagrafo"/>
    <w:link w:val="Pidipagina"/>
    <w:uiPriority w:val="99"/>
    <w:rsid w:val="00B73B53"/>
  </w:style>
  <w:style w:type="paragraph" w:customStyle="1" w:styleId="p1">
    <w:name w:val="p1"/>
    <w:basedOn w:val="Normale"/>
    <w:rsid w:val="00C8302E"/>
    <w:rPr>
      <w:rFonts w:ascii="Arial" w:eastAsia="Times New Roman" w:hAnsi="Arial" w:cs="Arial"/>
      <w:color w:val="000000"/>
      <w:kern w:val="0"/>
      <w:sz w:val="38"/>
      <w:szCs w:val="38"/>
      <w:lang w:eastAsia="it-IT"/>
      <w14:ligatures w14:val="none"/>
    </w:rPr>
  </w:style>
  <w:style w:type="character" w:styleId="Menzionenonrisolta">
    <w:name w:val="Unresolved Mention"/>
    <w:basedOn w:val="Carpredefinitoparagrafo"/>
    <w:uiPriority w:val="99"/>
    <w:semiHidden/>
    <w:unhideWhenUsed/>
    <w:rsid w:val="001F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5491">
      <w:bodyDiv w:val="1"/>
      <w:marLeft w:val="0"/>
      <w:marRight w:val="0"/>
      <w:marTop w:val="0"/>
      <w:marBottom w:val="0"/>
      <w:divBdr>
        <w:top w:val="none" w:sz="0" w:space="0" w:color="auto"/>
        <w:left w:val="none" w:sz="0" w:space="0" w:color="auto"/>
        <w:bottom w:val="none" w:sz="0" w:space="0" w:color="auto"/>
        <w:right w:val="none" w:sz="0" w:space="0" w:color="auto"/>
      </w:divBdr>
      <w:divsChild>
        <w:div w:id="777607551">
          <w:marLeft w:val="0"/>
          <w:marRight w:val="0"/>
          <w:marTop w:val="0"/>
          <w:marBottom w:val="0"/>
          <w:divBdr>
            <w:top w:val="none" w:sz="0" w:space="0" w:color="auto"/>
            <w:left w:val="none" w:sz="0" w:space="0" w:color="auto"/>
            <w:bottom w:val="none" w:sz="0" w:space="0" w:color="auto"/>
            <w:right w:val="none" w:sz="0" w:space="0" w:color="auto"/>
          </w:divBdr>
          <w:divsChild>
            <w:div w:id="2034070063">
              <w:marLeft w:val="0"/>
              <w:marRight w:val="0"/>
              <w:marTop w:val="0"/>
              <w:marBottom w:val="0"/>
              <w:divBdr>
                <w:top w:val="none" w:sz="0" w:space="0" w:color="auto"/>
                <w:left w:val="none" w:sz="0" w:space="0" w:color="auto"/>
                <w:bottom w:val="none" w:sz="0" w:space="0" w:color="auto"/>
                <w:right w:val="none" w:sz="0" w:space="0" w:color="auto"/>
              </w:divBdr>
            </w:div>
            <w:div w:id="455494129">
              <w:marLeft w:val="0"/>
              <w:marRight w:val="0"/>
              <w:marTop w:val="0"/>
              <w:marBottom w:val="0"/>
              <w:divBdr>
                <w:top w:val="none" w:sz="0" w:space="0" w:color="auto"/>
                <w:left w:val="none" w:sz="0" w:space="0" w:color="auto"/>
                <w:bottom w:val="none" w:sz="0" w:space="0" w:color="auto"/>
                <w:right w:val="none" w:sz="0" w:space="0" w:color="auto"/>
              </w:divBdr>
            </w:div>
            <w:div w:id="1214268920">
              <w:marLeft w:val="0"/>
              <w:marRight w:val="0"/>
              <w:marTop w:val="0"/>
              <w:marBottom w:val="0"/>
              <w:divBdr>
                <w:top w:val="none" w:sz="0" w:space="0" w:color="auto"/>
                <w:left w:val="none" w:sz="0" w:space="0" w:color="auto"/>
                <w:bottom w:val="none" w:sz="0" w:space="0" w:color="auto"/>
                <w:right w:val="none" w:sz="0" w:space="0" w:color="auto"/>
              </w:divBdr>
            </w:div>
            <w:div w:id="17677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1507">
      <w:bodyDiv w:val="1"/>
      <w:marLeft w:val="0"/>
      <w:marRight w:val="0"/>
      <w:marTop w:val="0"/>
      <w:marBottom w:val="0"/>
      <w:divBdr>
        <w:top w:val="none" w:sz="0" w:space="0" w:color="auto"/>
        <w:left w:val="none" w:sz="0" w:space="0" w:color="auto"/>
        <w:bottom w:val="none" w:sz="0" w:space="0" w:color="auto"/>
        <w:right w:val="none" w:sz="0" w:space="0" w:color="auto"/>
      </w:divBdr>
    </w:div>
    <w:div w:id="1707489986">
      <w:bodyDiv w:val="1"/>
      <w:marLeft w:val="0"/>
      <w:marRight w:val="0"/>
      <w:marTop w:val="0"/>
      <w:marBottom w:val="0"/>
      <w:divBdr>
        <w:top w:val="none" w:sz="0" w:space="0" w:color="auto"/>
        <w:left w:val="none" w:sz="0" w:space="0" w:color="auto"/>
        <w:bottom w:val="none" w:sz="0" w:space="0" w:color="auto"/>
        <w:right w:val="none" w:sz="0" w:space="0" w:color="auto"/>
      </w:divBdr>
      <w:divsChild>
        <w:div w:id="1545868415">
          <w:marLeft w:val="0"/>
          <w:marRight w:val="0"/>
          <w:marTop w:val="0"/>
          <w:marBottom w:val="0"/>
          <w:divBdr>
            <w:top w:val="none" w:sz="0" w:space="0" w:color="auto"/>
            <w:left w:val="none" w:sz="0" w:space="0" w:color="auto"/>
            <w:bottom w:val="none" w:sz="0" w:space="0" w:color="auto"/>
            <w:right w:val="none" w:sz="0" w:space="0" w:color="auto"/>
          </w:divBdr>
          <w:divsChild>
            <w:div w:id="2040353318">
              <w:marLeft w:val="0"/>
              <w:marRight w:val="0"/>
              <w:marTop w:val="0"/>
              <w:marBottom w:val="0"/>
              <w:divBdr>
                <w:top w:val="none" w:sz="0" w:space="0" w:color="auto"/>
                <w:left w:val="none" w:sz="0" w:space="0" w:color="auto"/>
                <w:bottom w:val="none" w:sz="0" w:space="0" w:color="auto"/>
                <w:right w:val="none" w:sz="0" w:space="0" w:color="auto"/>
              </w:divBdr>
            </w:div>
            <w:div w:id="271019522">
              <w:marLeft w:val="0"/>
              <w:marRight w:val="0"/>
              <w:marTop w:val="0"/>
              <w:marBottom w:val="0"/>
              <w:divBdr>
                <w:top w:val="none" w:sz="0" w:space="0" w:color="auto"/>
                <w:left w:val="none" w:sz="0" w:space="0" w:color="auto"/>
                <w:bottom w:val="none" w:sz="0" w:space="0" w:color="auto"/>
                <w:right w:val="none" w:sz="0" w:space="0" w:color="auto"/>
              </w:divBdr>
            </w:div>
            <w:div w:id="1731416414">
              <w:marLeft w:val="0"/>
              <w:marRight w:val="0"/>
              <w:marTop w:val="0"/>
              <w:marBottom w:val="0"/>
              <w:divBdr>
                <w:top w:val="none" w:sz="0" w:space="0" w:color="auto"/>
                <w:left w:val="none" w:sz="0" w:space="0" w:color="auto"/>
                <w:bottom w:val="none" w:sz="0" w:space="0" w:color="auto"/>
                <w:right w:val="none" w:sz="0" w:space="0" w:color="auto"/>
              </w:divBdr>
            </w:div>
            <w:div w:id="6786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ippaconcep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uraferretto6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Ferretto</dc:creator>
  <cp:keywords/>
  <dc:description/>
  <cp:lastModifiedBy>Laura Ferretto</cp:lastModifiedBy>
  <cp:revision>2</cp:revision>
  <dcterms:created xsi:type="dcterms:W3CDTF">2025-10-22T13:12:00Z</dcterms:created>
  <dcterms:modified xsi:type="dcterms:W3CDTF">2025-10-22T13:12:00Z</dcterms:modified>
</cp:coreProperties>
</file>